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54DBC550">
      <w:pPr>
        <w:pStyle w:val="6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</w:t>
      </w:r>
      <w:r>
        <w:rPr>
          <w:rStyle w:val="23"/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PICCO模块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项目市场询价采购清单</w:t>
      </w:r>
    </w:p>
    <w:p w14:paraId="3B5E9A60">
      <w:pPr>
        <w:pStyle w:val="6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p w14:paraId="52E4F0B9"/>
    <w:tbl>
      <w:tblPr>
        <w:tblStyle w:val="9"/>
        <w:tblW w:w="8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262"/>
        <w:gridCol w:w="1079"/>
        <w:gridCol w:w="499"/>
        <w:gridCol w:w="784"/>
        <w:gridCol w:w="1485"/>
        <w:gridCol w:w="1050"/>
        <w:gridCol w:w="1345"/>
      </w:tblGrid>
      <w:tr w14:paraId="3165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AD8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D1F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6F4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5C6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224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BFC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3A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7E7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80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PICCO模块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保修期6个月</w:t>
            </w:r>
          </w:p>
        </w:tc>
      </w:tr>
      <w:tr w14:paraId="6765F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元</w:t>
            </w:r>
          </w:p>
        </w:tc>
      </w:tr>
    </w:tbl>
    <w:p w14:paraId="0528AEB6">
      <w:pPr>
        <w:rPr>
          <w:rFonts w:hint="default"/>
          <w:lang w:val="en-US" w:eastAsia="zh-CN"/>
        </w:rPr>
      </w:pPr>
    </w:p>
    <w:p w14:paraId="54EC3EA7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4E2D2CE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8C6C4A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53DE590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CF285D3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68F2694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AEEC99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6A425B5E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4EBD1FC5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期：2025年02月    日</w:t>
      </w:r>
    </w:p>
    <w:p w14:paraId="4D1065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2E987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26D7DD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 w14:paraId="2F561428">
      <w:pPr>
        <w:rPr>
          <w:rFonts w:hint="default"/>
          <w:lang w:val="en-US" w:eastAsia="zh-CN"/>
        </w:rPr>
      </w:pPr>
    </w:p>
    <w:p w14:paraId="75909C9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一、PICCO模块</w:t>
      </w:r>
    </w:p>
    <w:p w14:paraId="4A8BEADE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1、模块化设计，配置连续血流动力学监测模块，模块可在科室内任意一台监护仪上使用，实现资源共享；能够与需要加装的监护仪适配；</w:t>
      </w:r>
    </w:p>
    <w:p w14:paraId="114500A6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2、触屏操作，方便快捷；</w:t>
      </w:r>
    </w:p>
    <w:p w14:paraId="46543D81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3、采用微创连续监测技术，无需肺动脉导管，通过中心静脉导管及大动脉导管进行监测；</w:t>
      </w:r>
    </w:p>
    <w:p w14:paraId="47DD0173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4、监测参数包括：</w:t>
      </w:r>
    </w:p>
    <w:p w14:paraId="190B4C65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a)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连续心输出量PiCCO, 每搏量SV;</w:t>
      </w:r>
    </w:p>
    <w:p w14:paraId="58AB5A86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b)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全心舒张末期容积GEDV，胸腔内血容量ITBV；</w:t>
      </w:r>
    </w:p>
    <w:p w14:paraId="70DB0AB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c)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每搏量变异SVV, 脉压变异PPV；</w:t>
      </w:r>
    </w:p>
    <w:p w14:paraId="679BC6A3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d)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中心静脉氧饱和度连续监测ScvO2，氧供指数DO2I，氧耗指数VO2I，</w:t>
      </w:r>
    </w:p>
    <w:p w14:paraId="7C79FC2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e)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心功指数CPI, 肺血管通透性指数PVPI，血管外肺水EVLW；</w:t>
      </w:r>
    </w:p>
    <w:p w14:paraId="7F2FAB14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f)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全心射血分数GEF，左室收缩力指数dPmx</w:t>
      </w:r>
    </w:p>
    <w:p w14:paraId="03FD56D5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5、提供直观的蛛网图，方便查看病情变化，蛛网图可设置3-7个监测参数进行直观显示，通过不同颜色进行分级报警；</w:t>
      </w:r>
    </w:p>
    <w:p w14:paraId="0814781E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6、适用于成人及儿童患者；</w:t>
      </w:r>
    </w:p>
    <w:p w14:paraId="596A495B">
      <w:pPr>
        <w:pStyle w:val="15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7、数据可存储120小时趋势图表，方便回顾及打印；</w:t>
      </w:r>
    </w:p>
    <w:p w14:paraId="28FF118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E2D8C75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8D26E25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85B2B93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2C752E4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E2D3679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373CFA3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34FE4AA1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501AD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2553FA4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7A0BA522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42F06A8A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7E86EEA7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0" w:name="_Toc171325099"/>
    </w:p>
    <w:bookmarkEnd w:id="0"/>
    <w:p w14:paraId="3B46E175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2A56AD3">
      <w:pPr>
        <w:bidi w:val="0"/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项目</w:t>
      </w:r>
      <w:r>
        <w:rPr>
          <w:rFonts w:hint="eastAsia"/>
          <w:b/>
          <w:bCs/>
          <w:sz w:val="40"/>
          <w:szCs w:val="36"/>
          <w:lang w:eastAsia="zh-CN"/>
        </w:rPr>
        <w:t>报价表</w:t>
      </w:r>
    </w:p>
    <w:p w14:paraId="6F84AE61">
      <w:pPr>
        <w:rPr>
          <w:rFonts w:hint="eastAsia"/>
          <w:b/>
          <w:bCs/>
          <w:sz w:val="24"/>
          <w:szCs w:val="22"/>
          <w:lang w:val="en-US" w:eastAsia="zh-CN"/>
        </w:rPr>
      </w:pPr>
    </w:p>
    <w:p w14:paraId="51FD00FC">
      <w:pP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仿宋" w:hAnsi="仿宋" w:eastAsia="仿宋" w:cs="仿宋"/>
          <w:b/>
          <w:bCs/>
          <w:sz w:val="24"/>
          <w:szCs w:val="22"/>
          <w:lang w:val="en-US" w:eastAsia="zh-CN"/>
        </w:rPr>
        <w:t>PICCO模块项目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BYXJ-2025009</w:t>
      </w:r>
      <w:bookmarkStart w:id="2" w:name="_GoBack"/>
      <w:bookmarkEnd w:id="2"/>
    </w:p>
    <w:tbl>
      <w:tblPr>
        <w:tblStyle w:val="10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6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1年（以实际协议为准）</w:t>
            </w:r>
          </w:p>
        </w:tc>
      </w:tr>
    </w:tbl>
    <w:p w14:paraId="636AA74B">
      <w:pPr>
        <w:pStyle w:val="6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4394439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F7C937B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日期：2025年  月  日</w:t>
      </w:r>
    </w:p>
    <w:p w14:paraId="4407ECCE">
      <w:pPr>
        <w:rPr>
          <w:rFonts w:hint="eastAsia"/>
          <w:lang w:val="en-US" w:eastAsia="zh-CN"/>
        </w:rPr>
      </w:pPr>
    </w:p>
    <w:p w14:paraId="66B8B17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 w14:paraId="24BC1399">
      <w:p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  <w:bookmarkStart w:id="1" w:name="_Toc146709127"/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numPr>
          <w:ilvl w:val="1"/>
          <w:numId w:val="2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PICCO模块项目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5AF6A4E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1280B3-6542-4839-882B-7E0AA63092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4E5312-7621-4785-AA9E-FF6D2D7F65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C3B463B-B638-4355-AB6B-BC2BA9D53F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623F3B2-630C-44F7-B229-77FB3E6F35E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49D8AE0-F12D-4535-9E4D-312B13E264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4873C8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E731836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95773B4"/>
    <w:rsid w:val="2A3D4D9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3587886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441EE6"/>
    <w:rsid w:val="4C5B2671"/>
    <w:rsid w:val="4CF11927"/>
    <w:rsid w:val="4DCD4142"/>
    <w:rsid w:val="4DFA5D5B"/>
    <w:rsid w:val="4E712D20"/>
    <w:rsid w:val="4FCB5FB2"/>
    <w:rsid w:val="500B0F52"/>
    <w:rsid w:val="50C03AEB"/>
    <w:rsid w:val="51061AE3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2957EA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1155</Characters>
  <Lines>0</Lines>
  <Paragraphs>0</Paragraphs>
  <TotalTime>6</TotalTime>
  <ScaleCrop>false</ScaleCrop>
  <LinksUpToDate>false</LinksUpToDate>
  <CharactersWithSpaces>1577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2025-02-17T01:31:35Z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