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D74E2">
      <w:pPr>
        <w:pStyle w:val="3"/>
        <w:keepNext/>
        <w:keepLines/>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附件：</w:t>
      </w:r>
    </w:p>
    <w:p w14:paraId="3142AD49">
      <w:pPr>
        <w:pStyle w:val="3"/>
        <w:numPr>
          <w:ilvl w:val="0"/>
          <w:numId w:val="0"/>
        </w:numPr>
        <w:jc w:val="center"/>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保亭黎族苗族自治县人民医院（保亭黎族苗族自治县医疗集团总医院）</w:t>
      </w:r>
      <w:r>
        <w:rPr>
          <w:rStyle w:val="26"/>
          <w:rFonts w:hint="eastAsia" w:ascii="宋体" w:hAnsi="宋体" w:eastAsia="宋体" w:cs="宋体"/>
          <w:color w:val="auto"/>
          <w:kern w:val="2"/>
          <w:sz w:val="36"/>
          <w:szCs w:val="36"/>
          <w:highlight w:val="none"/>
          <w:u w:val="none"/>
          <w:lang w:val="en-US" w:eastAsia="zh-CN" w:bidi="ar-SA"/>
        </w:rPr>
        <w:t>心电监护仪项目市场采购项目报价</w:t>
      </w:r>
      <w:r>
        <w:rPr>
          <w:rFonts w:hint="eastAsia" w:ascii="宋体" w:hAnsi="宋体" w:eastAsia="宋体" w:cs="宋体"/>
          <w:b/>
          <w:bCs/>
          <w:i w:val="0"/>
          <w:iCs w:val="0"/>
          <w:color w:val="000000"/>
          <w:kern w:val="0"/>
          <w:sz w:val="36"/>
          <w:szCs w:val="36"/>
          <w:u w:val="none"/>
          <w:lang w:val="en-US" w:eastAsia="zh-CN" w:bidi="ar"/>
        </w:rPr>
        <w:t>清单</w:t>
      </w:r>
    </w:p>
    <w:p w14:paraId="20737CF1">
      <w:pPr>
        <w:rPr>
          <w:rFonts w:hint="eastAsia"/>
          <w:lang w:val="en-US" w:eastAsia="zh-CN"/>
        </w:rPr>
      </w:pPr>
    </w:p>
    <w:tbl>
      <w:tblPr>
        <w:tblStyle w:val="12"/>
        <w:tblpPr w:leftFromText="180" w:rightFromText="180" w:vertAnchor="text" w:tblpX="-632" w:tblpY="33"/>
        <w:tblOverlap w:val="never"/>
        <w:tblW w:w="103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0"/>
        <w:gridCol w:w="1650"/>
        <w:gridCol w:w="2250"/>
        <w:gridCol w:w="1934"/>
        <w:gridCol w:w="833"/>
        <w:gridCol w:w="917"/>
        <w:gridCol w:w="1950"/>
      </w:tblGrid>
      <w:tr w14:paraId="7FD1D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BF8B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0D4DB">
            <w:pPr>
              <w:contextualSpacing/>
              <w:jc w:val="center"/>
              <w:rPr>
                <w:rFonts w:hint="eastAsia" w:ascii="仿宋" w:hAnsi="仿宋" w:eastAsia="仿宋" w:cs="仿宋"/>
                <w:i w:val="0"/>
                <w:iCs w:val="0"/>
                <w:color w:val="000000"/>
                <w:sz w:val="28"/>
                <w:szCs w:val="28"/>
                <w:u w:val="none"/>
              </w:rPr>
            </w:pPr>
            <w:r>
              <w:rPr>
                <w:rFonts w:hint="eastAsia" w:ascii="仿宋" w:hAnsi="仿宋" w:eastAsia="仿宋" w:cs="仿宋"/>
                <w:b/>
                <w:bCs/>
                <w:sz w:val="28"/>
                <w:szCs w:val="28"/>
                <w:lang w:val="en-US" w:eastAsia="zh-CN"/>
              </w:rPr>
              <w:t>设备</w:t>
            </w:r>
            <w:r>
              <w:rPr>
                <w:rFonts w:hint="eastAsia" w:ascii="仿宋" w:hAnsi="仿宋" w:eastAsia="仿宋" w:cs="仿宋"/>
                <w:b/>
                <w:bCs/>
                <w:sz w:val="28"/>
                <w:szCs w:val="28"/>
              </w:rPr>
              <w:t>名称</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E68E">
            <w:pPr>
              <w:contextualSpacing/>
              <w:jc w:val="center"/>
              <w:rPr>
                <w:rFonts w:hint="eastAsia" w:ascii="仿宋" w:hAnsi="仿宋" w:eastAsia="仿宋" w:cs="仿宋"/>
                <w:i w:val="0"/>
                <w:iCs w:val="0"/>
                <w:color w:val="000000"/>
                <w:sz w:val="28"/>
                <w:szCs w:val="28"/>
                <w:u w:val="none"/>
                <w:lang w:eastAsia="zh-CN"/>
              </w:rPr>
            </w:pPr>
            <w:r>
              <w:rPr>
                <w:rFonts w:hint="eastAsia" w:ascii="仿宋" w:hAnsi="仿宋" w:eastAsia="仿宋" w:cs="仿宋"/>
                <w:b/>
                <w:bCs/>
                <w:sz w:val="28"/>
                <w:szCs w:val="28"/>
                <w:lang w:val="en-US" w:eastAsia="zh-CN"/>
              </w:rPr>
              <w:t>生产厂家（国产）</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C7C9">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b/>
                <w:bCs/>
                <w:i w:val="0"/>
                <w:iCs w:val="0"/>
                <w:color w:val="000000"/>
                <w:sz w:val="28"/>
                <w:szCs w:val="28"/>
                <w:u w:val="none"/>
                <w:lang w:val="en-US" w:eastAsia="zh-CN"/>
              </w:rPr>
              <w:t>型号（国产）</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279AE">
            <w:pPr>
              <w:keepNext w:val="0"/>
              <w:keepLines w:val="0"/>
              <w:widowControl/>
              <w:suppressLineNumbers w:val="0"/>
              <w:jc w:val="center"/>
              <w:textAlignment w:val="center"/>
              <w:rPr>
                <w:rFonts w:hint="default" w:ascii="仿宋" w:hAnsi="仿宋" w:eastAsia="仿宋" w:cs="仿宋"/>
                <w:b/>
                <w:bCs/>
                <w:i w:val="0"/>
                <w:iCs w:val="0"/>
                <w:color w:val="000000"/>
                <w:sz w:val="28"/>
                <w:szCs w:val="28"/>
                <w:u w:val="none"/>
                <w:lang w:val="en-US" w:eastAsia="zh-CN"/>
              </w:rPr>
            </w:pPr>
            <w:r>
              <w:rPr>
                <w:rFonts w:hint="eastAsia" w:ascii="仿宋" w:hAnsi="仿宋" w:eastAsia="仿宋" w:cs="仿宋"/>
                <w:b/>
                <w:bCs/>
                <w:i w:val="0"/>
                <w:iCs w:val="0"/>
                <w:color w:val="000000"/>
                <w:sz w:val="28"/>
                <w:szCs w:val="28"/>
                <w:u w:val="none"/>
                <w:lang w:val="en-US" w:eastAsia="zh-CN"/>
              </w:rPr>
              <w:t>单位</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A3D69">
            <w:pPr>
              <w:keepNext w:val="0"/>
              <w:keepLines w:val="0"/>
              <w:widowControl/>
              <w:suppressLineNumbers w:val="0"/>
              <w:jc w:val="center"/>
              <w:textAlignment w:val="center"/>
              <w:rPr>
                <w:rFonts w:hint="default" w:ascii="仿宋" w:hAnsi="仿宋" w:eastAsia="仿宋" w:cs="仿宋"/>
                <w:b/>
                <w:bCs/>
                <w:i w:val="0"/>
                <w:iCs w:val="0"/>
                <w:color w:val="000000"/>
                <w:sz w:val="28"/>
                <w:szCs w:val="28"/>
                <w:u w:val="none"/>
                <w:lang w:val="en-US" w:eastAsia="zh-CN"/>
              </w:rPr>
            </w:pPr>
            <w:r>
              <w:rPr>
                <w:rFonts w:hint="eastAsia" w:ascii="仿宋" w:hAnsi="仿宋" w:eastAsia="仿宋" w:cs="仿宋"/>
                <w:b/>
                <w:bCs/>
                <w:i w:val="0"/>
                <w:iCs w:val="0"/>
                <w:color w:val="000000"/>
                <w:sz w:val="28"/>
                <w:szCs w:val="28"/>
                <w:u w:val="none"/>
                <w:lang w:val="en-US" w:eastAsia="zh-CN"/>
              </w:rPr>
              <w:t>数量</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F5FE">
            <w:pPr>
              <w:keepNext w:val="0"/>
              <w:keepLines w:val="0"/>
              <w:widowControl/>
              <w:suppressLineNumbers w:val="0"/>
              <w:jc w:val="center"/>
              <w:textAlignment w:val="center"/>
              <w:rPr>
                <w:rFonts w:hint="default" w:ascii="仿宋" w:hAnsi="仿宋" w:eastAsia="仿宋" w:cs="仿宋"/>
                <w:b/>
                <w:bCs/>
                <w:i w:val="0"/>
                <w:iCs w:val="0"/>
                <w:color w:val="000000"/>
                <w:sz w:val="28"/>
                <w:szCs w:val="28"/>
                <w:u w:val="none"/>
                <w:lang w:val="en-US" w:eastAsia="zh-CN"/>
              </w:rPr>
            </w:pPr>
            <w:r>
              <w:rPr>
                <w:rFonts w:hint="eastAsia" w:ascii="仿宋" w:hAnsi="仿宋" w:eastAsia="仿宋" w:cs="仿宋"/>
                <w:b/>
                <w:bCs/>
                <w:i w:val="0"/>
                <w:iCs w:val="0"/>
                <w:color w:val="000000"/>
                <w:sz w:val="28"/>
                <w:szCs w:val="28"/>
                <w:u w:val="none"/>
                <w:lang w:val="en-US" w:eastAsia="zh-CN"/>
              </w:rPr>
              <w:t>报价金额</w:t>
            </w:r>
          </w:p>
        </w:tc>
      </w:tr>
      <w:tr w14:paraId="14474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257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B12E1">
            <w:pPr>
              <w:keepNext w:val="0"/>
              <w:keepLines w:val="0"/>
              <w:widowControl/>
              <w:suppressLineNumbers w:val="0"/>
              <w:jc w:val="center"/>
              <w:textAlignment w:val="center"/>
              <w:rPr>
                <w:rFonts w:hint="eastAsia" w:ascii="仿宋" w:hAnsi="仿宋" w:eastAsia="仿宋" w:cs="仿宋"/>
                <w:i w:val="0"/>
                <w:iCs w:val="0"/>
                <w:color w:val="000000"/>
                <w:sz w:val="30"/>
                <w:szCs w:val="30"/>
                <w:u w:val="none"/>
                <w:lang w:val="en-US" w:eastAsia="zh-CN"/>
              </w:rPr>
            </w:pPr>
            <w:r>
              <w:rPr>
                <w:rFonts w:hint="eastAsia" w:ascii="仿宋" w:hAnsi="仿宋" w:eastAsia="仿宋" w:cs="仿宋"/>
                <w:i w:val="0"/>
                <w:color w:val="000000"/>
                <w:sz w:val="30"/>
                <w:szCs w:val="30"/>
                <w:u w:val="none"/>
                <w:lang w:val="en-US" w:eastAsia="zh-CN"/>
              </w:rPr>
              <w:t>便携式转运心电监护仪</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3A6A1">
            <w:pPr>
              <w:widowControl/>
              <w:jc w:val="center"/>
              <w:textAlignment w:val="top"/>
              <w:rPr>
                <w:rFonts w:hint="eastAsia" w:ascii="仿宋" w:hAnsi="仿宋" w:eastAsia="仿宋" w:cs="仿宋"/>
                <w:i w:val="0"/>
                <w:iCs w:val="0"/>
                <w:color w:val="000000"/>
                <w:sz w:val="30"/>
                <w:szCs w:val="30"/>
                <w:u w:val="none"/>
                <w:lang w:val="en-US"/>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1778">
            <w:pPr>
              <w:widowControl/>
              <w:jc w:val="center"/>
              <w:textAlignment w:val="top"/>
              <w:rPr>
                <w:rFonts w:hint="eastAsia" w:ascii="仿宋" w:hAnsi="仿宋" w:eastAsia="仿宋" w:cs="仿宋"/>
                <w:i w:val="0"/>
                <w:iCs w:val="0"/>
                <w:color w:val="000000"/>
                <w:sz w:val="30"/>
                <w:szCs w:val="30"/>
                <w:u w:val="none"/>
                <w:lang w:val="en-US" w:eastAsia="zh-CN"/>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4AD7">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台</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5271C">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A80F6">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p>
        </w:tc>
      </w:tr>
      <w:tr w14:paraId="05B1B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trPr>
        <w:tc>
          <w:tcPr>
            <w:tcW w:w="1033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9460">
            <w:pPr>
              <w:jc w:val="left"/>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报价合计金额：（</w:t>
            </w:r>
            <w:r>
              <w:rPr>
                <w:rFonts w:hint="eastAsia" w:ascii="宋体" w:hAnsi="宋体" w:eastAsia="宋体" w:cs="宋体"/>
                <w:i w:val="0"/>
                <w:iCs w:val="0"/>
                <w:color w:val="000000"/>
                <w:sz w:val="24"/>
                <w:szCs w:val="24"/>
                <w:u w:val="none"/>
                <w:lang w:val="en-US" w:eastAsia="zh-CN"/>
              </w:rPr>
              <w:t>大写</w:t>
            </w:r>
            <w:r>
              <w:rPr>
                <w:rFonts w:hint="eastAsia" w:ascii="宋体" w:hAnsi="宋体" w:cs="宋体"/>
                <w:i w:val="0"/>
                <w:iCs w:val="0"/>
                <w:color w:val="000000"/>
                <w:sz w:val="24"/>
                <w:szCs w:val="24"/>
                <w:u w:val="none"/>
                <w:lang w:val="en-US" w:eastAsia="zh-CN"/>
              </w:rPr>
              <w:t>）</w:t>
            </w:r>
            <w:r>
              <w:rPr>
                <w:rFonts w:hint="eastAsia" w:ascii="宋体" w:hAnsi="宋体" w:eastAsia="宋体" w:cs="宋体"/>
                <w:i w:val="0"/>
                <w:iCs w:val="0"/>
                <w:color w:val="000000"/>
                <w:sz w:val="24"/>
                <w:szCs w:val="24"/>
                <w:u w:val="none"/>
                <w:lang w:val="en-US" w:eastAsia="zh-CN"/>
              </w:rPr>
              <w:t xml:space="preserve">：            </w:t>
            </w:r>
            <w:r>
              <w:rPr>
                <w:rFonts w:hint="eastAsia" w:ascii="宋体" w:hAnsi="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lang w:val="en-US" w:eastAsia="zh-CN"/>
              </w:rPr>
              <w:t xml:space="preserve"> 元整</w:t>
            </w:r>
            <w:r>
              <w:rPr>
                <w:rFonts w:hint="eastAsia" w:ascii="宋体" w:hAnsi="宋体" w:cs="宋体"/>
                <w:i w:val="0"/>
                <w:iCs w:val="0"/>
                <w:color w:val="000000"/>
                <w:sz w:val="24"/>
                <w:szCs w:val="24"/>
                <w:u w:val="none"/>
                <w:lang w:val="en-US" w:eastAsia="zh-CN"/>
              </w:rPr>
              <w:t xml:space="preserve"> ， （小写）             元</w:t>
            </w:r>
          </w:p>
        </w:tc>
      </w:tr>
    </w:tbl>
    <w:p w14:paraId="190D22D4">
      <w:pPr>
        <w:rPr>
          <w:rFonts w:hint="eastAsia"/>
          <w:lang w:val="en-US" w:eastAsia="zh-CN"/>
        </w:rPr>
      </w:pPr>
    </w:p>
    <w:p w14:paraId="01A213AC">
      <w:pPr>
        <w:rPr>
          <w:rFonts w:hint="eastAsia"/>
          <w:sz w:val="24"/>
          <w:szCs w:val="24"/>
          <w:lang w:val="en-US" w:eastAsia="zh-CN"/>
        </w:rPr>
      </w:pPr>
    </w:p>
    <w:p w14:paraId="4ED266BC">
      <w:pPr>
        <w:rPr>
          <w:rFonts w:hint="default" w:ascii="宋体" w:hAnsi="宋体" w:eastAsia="宋体" w:cs="宋体"/>
          <w:b w:val="0"/>
          <w:bCs/>
          <w:sz w:val="24"/>
          <w:szCs w:val="21"/>
          <w:lang w:val="en-US" w:eastAsia="zh-CN"/>
        </w:rPr>
      </w:pPr>
      <w:r>
        <w:rPr>
          <w:rFonts w:hint="eastAsia"/>
          <w:sz w:val="24"/>
          <w:szCs w:val="24"/>
          <w:lang w:val="en-US" w:eastAsia="zh-CN"/>
        </w:rPr>
        <w:t>以上报价含税及包含产品质保期内服务过程中可能产生的其他费用。</w:t>
      </w:r>
    </w:p>
    <w:p w14:paraId="6EE3C8E6">
      <w:pPr>
        <w:spacing w:line="240" w:lineRule="auto"/>
        <w:rPr>
          <w:rFonts w:hint="eastAsia" w:ascii="宋体" w:hAnsi="宋体" w:eastAsia="宋体" w:cs="宋体"/>
          <w:b w:val="0"/>
          <w:bCs/>
          <w:sz w:val="24"/>
          <w:szCs w:val="21"/>
          <w:lang w:val="en-US" w:eastAsia="zh-CN"/>
        </w:rPr>
      </w:pPr>
    </w:p>
    <w:p w14:paraId="3430124B">
      <w:pPr>
        <w:spacing w:line="240" w:lineRule="auto"/>
        <w:rPr>
          <w:rFonts w:hint="eastAsia" w:ascii="宋体" w:hAnsi="宋体" w:eastAsia="宋体" w:cs="宋体"/>
          <w:b w:val="0"/>
          <w:bCs/>
          <w:sz w:val="24"/>
          <w:szCs w:val="21"/>
          <w:lang w:val="en-US" w:eastAsia="zh-CN"/>
        </w:rPr>
      </w:pPr>
    </w:p>
    <w:p w14:paraId="6D80158E">
      <w:pPr>
        <w:spacing w:line="240" w:lineRule="auto"/>
        <w:rPr>
          <w:rFonts w:hint="eastAsia" w:ascii="宋体" w:hAnsi="宋体" w:eastAsia="宋体" w:cs="宋体"/>
          <w:b w:val="0"/>
          <w:bCs/>
          <w:sz w:val="24"/>
          <w:szCs w:val="21"/>
          <w:lang w:val="en-US" w:eastAsia="zh-CN"/>
        </w:rPr>
      </w:pPr>
      <w:r>
        <w:rPr>
          <w:rFonts w:hint="eastAsia" w:ascii="宋体" w:hAnsi="宋体" w:eastAsia="宋体" w:cs="宋体"/>
          <w:b w:val="0"/>
          <w:bCs/>
          <w:sz w:val="24"/>
          <w:szCs w:val="21"/>
          <w:lang w:val="en-US" w:eastAsia="zh-CN"/>
        </w:rPr>
        <w:t>报价单位：</w:t>
      </w:r>
      <w:r>
        <w:rPr>
          <w:rFonts w:hint="eastAsia" w:ascii="宋体" w:hAnsi="宋体" w:cs="宋体"/>
          <w:b w:val="0"/>
          <w:bCs/>
          <w:sz w:val="24"/>
          <w:szCs w:val="21"/>
          <w:lang w:val="en-US" w:eastAsia="zh-CN"/>
        </w:rPr>
        <w:t>（盖章）</w:t>
      </w:r>
      <w:r>
        <w:rPr>
          <w:rFonts w:hint="eastAsia" w:cs="宋体"/>
          <w:b w:val="0"/>
          <w:bCs/>
          <w:sz w:val="24"/>
          <w:szCs w:val="21"/>
          <w:lang w:val="en-US" w:eastAsia="zh-CN"/>
        </w:rPr>
        <w:t xml:space="preserve">                                </w:t>
      </w:r>
    </w:p>
    <w:p w14:paraId="0C7FBEF1">
      <w:pPr>
        <w:spacing w:line="240" w:lineRule="auto"/>
        <w:rPr>
          <w:rFonts w:hint="eastAsia" w:ascii="宋体" w:hAnsi="宋体" w:eastAsia="宋体" w:cs="宋体"/>
          <w:b w:val="0"/>
          <w:bCs/>
          <w:sz w:val="24"/>
          <w:szCs w:val="21"/>
          <w:lang w:val="en-US" w:eastAsia="zh-CN"/>
        </w:rPr>
      </w:pPr>
    </w:p>
    <w:p w14:paraId="44E04EF3">
      <w:pPr>
        <w:spacing w:line="240" w:lineRule="auto"/>
        <w:rPr>
          <w:rFonts w:hint="eastAsia" w:ascii="宋体" w:hAnsi="宋体" w:eastAsia="宋体" w:cs="宋体"/>
          <w:b w:val="0"/>
          <w:bCs/>
          <w:sz w:val="24"/>
          <w:szCs w:val="21"/>
          <w:lang w:val="en-US" w:eastAsia="zh-CN"/>
        </w:rPr>
      </w:pPr>
      <w:r>
        <w:rPr>
          <w:rFonts w:hint="eastAsia" w:ascii="宋体" w:hAnsi="宋体" w:eastAsia="宋体" w:cs="宋体"/>
          <w:b w:val="0"/>
          <w:bCs/>
          <w:sz w:val="24"/>
          <w:szCs w:val="21"/>
          <w:lang w:val="en-US" w:eastAsia="zh-CN"/>
        </w:rPr>
        <w:t xml:space="preserve">联 系 人： </w:t>
      </w:r>
    </w:p>
    <w:p w14:paraId="620BA7D3">
      <w:pPr>
        <w:pStyle w:val="3"/>
        <w:numPr>
          <w:ilvl w:val="1"/>
          <w:numId w:val="0"/>
        </w:numPr>
        <w:spacing w:line="240" w:lineRule="auto"/>
        <w:ind w:leftChars="0"/>
        <w:rPr>
          <w:rFonts w:hint="eastAsia" w:ascii="宋体" w:hAnsi="宋体" w:eastAsia="宋体" w:cs="宋体"/>
          <w:b w:val="0"/>
          <w:bCs/>
          <w:sz w:val="24"/>
          <w:szCs w:val="21"/>
          <w:lang w:val="en-US" w:eastAsia="zh-CN"/>
        </w:rPr>
      </w:pPr>
      <w:r>
        <w:rPr>
          <w:rFonts w:hint="eastAsia" w:ascii="宋体" w:hAnsi="宋体" w:eastAsia="宋体" w:cs="宋体"/>
          <w:b w:val="0"/>
          <w:bCs/>
          <w:sz w:val="24"/>
          <w:szCs w:val="21"/>
          <w:lang w:val="en-US" w:eastAsia="zh-CN"/>
        </w:rPr>
        <w:t xml:space="preserve">身份证号：                              </w:t>
      </w:r>
    </w:p>
    <w:p w14:paraId="4CEA9366">
      <w:pPr>
        <w:pStyle w:val="3"/>
        <w:numPr>
          <w:ilvl w:val="1"/>
          <w:numId w:val="0"/>
        </w:numPr>
        <w:spacing w:line="240" w:lineRule="auto"/>
        <w:ind w:leftChars="0"/>
        <w:rPr>
          <w:rFonts w:hint="eastAsia" w:ascii="宋体" w:hAnsi="宋体" w:eastAsia="宋体" w:cs="宋体"/>
          <w:b w:val="0"/>
          <w:bCs/>
          <w:sz w:val="24"/>
          <w:szCs w:val="21"/>
          <w:lang w:val="en-US" w:eastAsia="zh-CN"/>
        </w:rPr>
      </w:pPr>
      <w:r>
        <w:rPr>
          <w:rFonts w:hint="eastAsia" w:ascii="宋体" w:hAnsi="宋体" w:eastAsia="宋体" w:cs="宋体"/>
          <w:b w:val="0"/>
          <w:bCs/>
          <w:sz w:val="24"/>
          <w:szCs w:val="21"/>
          <w:lang w:val="en-US" w:eastAsia="zh-CN"/>
        </w:rPr>
        <w:t xml:space="preserve">电    话：  </w:t>
      </w:r>
    </w:p>
    <w:p w14:paraId="69ADBD19">
      <w:pPr>
        <w:pStyle w:val="3"/>
        <w:numPr>
          <w:ilvl w:val="1"/>
          <w:numId w:val="0"/>
        </w:numPr>
        <w:spacing w:line="240" w:lineRule="auto"/>
        <w:ind w:leftChars="0"/>
        <w:rPr>
          <w:rFonts w:hint="eastAsia" w:ascii="宋体" w:hAnsi="宋体" w:eastAsia="宋体" w:cs="宋体"/>
          <w:b w:val="0"/>
          <w:bCs/>
          <w:sz w:val="24"/>
          <w:szCs w:val="21"/>
          <w:lang w:val="en-US" w:eastAsia="zh-CN"/>
        </w:rPr>
      </w:pPr>
      <w:r>
        <w:rPr>
          <w:rFonts w:hint="eastAsia" w:ascii="宋体" w:hAnsi="宋体" w:eastAsia="宋体" w:cs="宋体"/>
          <w:b w:val="0"/>
          <w:bCs/>
          <w:sz w:val="24"/>
          <w:szCs w:val="21"/>
          <w:lang w:val="en-US" w:eastAsia="zh-CN"/>
        </w:rPr>
        <w:t>日    期：2024年11月    日</w:t>
      </w:r>
    </w:p>
    <w:p w14:paraId="54E0D5E8">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Theme="minorEastAsia" w:hAnsiTheme="minorEastAsia"/>
          <w:b/>
          <w:bCs/>
          <w:kern w:val="0"/>
          <w:sz w:val="32"/>
          <w:szCs w:val="32"/>
          <w:lang w:val="en-US" w:eastAsia="zh-CN"/>
        </w:rPr>
      </w:pPr>
    </w:p>
    <w:p w14:paraId="2D73FA21">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Theme="minorEastAsia" w:hAnsiTheme="minorEastAsia"/>
          <w:b/>
          <w:bCs/>
          <w:kern w:val="0"/>
          <w:sz w:val="32"/>
          <w:szCs w:val="32"/>
          <w:lang w:val="en-US" w:eastAsia="zh-CN"/>
        </w:rPr>
      </w:pPr>
    </w:p>
    <w:p w14:paraId="18CEB026">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eastAsia" w:asciiTheme="minorEastAsia" w:hAnsiTheme="minorEastAsia"/>
          <w:b/>
          <w:bCs/>
          <w:kern w:val="0"/>
          <w:sz w:val="32"/>
          <w:szCs w:val="32"/>
          <w:lang w:val="en-US" w:eastAsia="zh-CN"/>
        </w:rPr>
      </w:pPr>
    </w:p>
    <w:p w14:paraId="23FC6F46">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eastAsia" w:asciiTheme="minorEastAsia" w:hAnsiTheme="minorEastAsia"/>
          <w:b/>
          <w:bCs/>
          <w:kern w:val="0"/>
          <w:sz w:val="32"/>
          <w:szCs w:val="32"/>
          <w:lang w:val="en-US" w:eastAsia="zh-CN"/>
        </w:rPr>
      </w:pPr>
    </w:p>
    <w:p w14:paraId="0139D312">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eastAsia" w:asciiTheme="minorEastAsia" w:hAnsiTheme="minorEastAsia"/>
          <w:b/>
          <w:bCs/>
          <w:kern w:val="0"/>
          <w:sz w:val="32"/>
          <w:szCs w:val="32"/>
          <w:lang w:val="en-US" w:eastAsia="zh-CN"/>
        </w:rPr>
      </w:pPr>
    </w:p>
    <w:p w14:paraId="3AE3CB6F">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eastAsia" w:asciiTheme="minorEastAsia" w:hAnsiTheme="minorEastAsia"/>
          <w:b/>
          <w:bCs/>
          <w:kern w:val="0"/>
          <w:sz w:val="32"/>
          <w:szCs w:val="32"/>
          <w:lang w:val="en-US" w:eastAsia="zh-CN"/>
        </w:rPr>
      </w:pPr>
    </w:p>
    <w:p w14:paraId="264CEFA9">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eastAsia" w:asciiTheme="minorEastAsia" w:hAnsiTheme="minorEastAsia"/>
          <w:b/>
          <w:bCs/>
          <w:kern w:val="0"/>
          <w:sz w:val="32"/>
          <w:szCs w:val="32"/>
          <w:lang w:val="en-US" w:eastAsia="zh-CN"/>
        </w:rPr>
      </w:pPr>
    </w:p>
    <w:p w14:paraId="68783888">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eastAsia" w:asciiTheme="minorEastAsia" w:hAnsiTheme="minorEastAsia"/>
          <w:b/>
          <w:bCs/>
          <w:kern w:val="0"/>
          <w:sz w:val="32"/>
          <w:szCs w:val="32"/>
          <w:lang w:val="en-US" w:eastAsia="zh-CN"/>
        </w:rPr>
      </w:pPr>
    </w:p>
    <w:p w14:paraId="51ABEC93">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eastAsia" w:asciiTheme="minorEastAsia" w:hAnsiTheme="minorEastAsia"/>
          <w:b/>
          <w:bCs/>
          <w:kern w:val="0"/>
          <w:sz w:val="32"/>
          <w:szCs w:val="32"/>
          <w:lang w:val="en-US" w:eastAsia="zh-CN"/>
        </w:rPr>
      </w:pPr>
    </w:p>
    <w:p w14:paraId="002C0367">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eastAsia" w:eastAsia="宋体"/>
          <w:sz w:val="22"/>
          <w:szCs w:val="28"/>
          <w:lang w:eastAsia="zh-CN"/>
        </w:rPr>
      </w:pPr>
      <w:r>
        <w:rPr>
          <w:rFonts w:hint="eastAsia" w:asciiTheme="minorEastAsia" w:hAnsiTheme="minorEastAsia"/>
          <w:b/>
          <w:bCs/>
          <w:kern w:val="0"/>
          <w:sz w:val="32"/>
          <w:szCs w:val="32"/>
          <w:lang w:val="en-US" w:eastAsia="zh-CN"/>
        </w:rPr>
        <w:t>设备</w:t>
      </w:r>
      <w:r>
        <w:rPr>
          <w:rFonts w:hint="eastAsia" w:asciiTheme="minorEastAsia" w:hAnsiTheme="minorEastAsia"/>
          <w:b/>
          <w:bCs/>
          <w:kern w:val="0"/>
          <w:sz w:val="32"/>
          <w:szCs w:val="32"/>
        </w:rPr>
        <w:t>参数要求</w:t>
      </w:r>
    </w:p>
    <w:p w14:paraId="5AAC0F8D">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center"/>
        <w:textAlignment w:val="auto"/>
        <w:rPr>
          <w:rFonts w:hint="eastAsia" w:ascii="宋体" w:hAnsi="宋体" w:cs="宋体"/>
          <w:b/>
          <w:bCs w:val="0"/>
          <w:kern w:val="2"/>
          <w:sz w:val="32"/>
          <w:szCs w:val="32"/>
          <w:lang w:val="en-US" w:eastAsia="zh-CN" w:bidi="ar-SA"/>
        </w:rPr>
      </w:pPr>
    </w:p>
    <w:p w14:paraId="4898C40E">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b w:val="0"/>
          <w:bCs w:val="0"/>
          <w:color w:val="000000"/>
          <w:sz w:val="24"/>
          <w:szCs w:val="24"/>
          <w:lang w:val="en-US" w:eastAsia="zh-CN"/>
        </w:rPr>
      </w:pPr>
      <w:r>
        <w:rPr>
          <w:rFonts w:hint="eastAsia" w:ascii="宋体" w:hAnsi="宋体" w:cs="宋体"/>
          <w:b/>
          <w:bCs w:val="0"/>
          <w:kern w:val="2"/>
          <w:sz w:val="32"/>
          <w:szCs w:val="32"/>
          <w:lang w:val="en-US" w:eastAsia="zh-CN" w:bidi="ar-SA"/>
        </w:rPr>
        <w:t>一、便携式转运心电监护仪</w:t>
      </w:r>
    </w:p>
    <w:p w14:paraId="4A34D262">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right="0" w:rightChars="0" w:firstLine="560" w:firstLineChars="200"/>
        <w:jc w:val="both"/>
        <w:textAlignment w:val="auto"/>
        <w:outlineLvl w:val="9"/>
        <w:rPr>
          <w:rFonts w:hint="eastAsia" w:ascii="仿宋" w:hAnsi="仿宋" w:eastAsia="仿宋" w:cs="仿宋"/>
          <w:b w:val="0"/>
          <w:bCs w:val="0"/>
          <w:color w:val="000000"/>
          <w:kern w:val="2"/>
          <w:sz w:val="28"/>
          <w:szCs w:val="28"/>
          <w:lang w:val="en-US" w:eastAsia="zh-CN" w:bidi="ar-SA"/>
        </w:rPr>
      </w:pPr>
    </w:p>
    <w:p w14:paraId="751FFDF3">
      <w:pPr>
        <w:pStyle w:val="18"/>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适用于成人、小儿、新生儿的监测</w:t>
      </w:r>
      <w:r>
        <w:rPr>
          <w:rFonts w:hint="eastAsia" w:ascii="仿宋" w:hAnsi="仿宋" w:eastAsia="仿宋" w:cs="仿宋"/>
          <w:kern w:val="0"/>
          <w:sz w:val="28"/>
          <w:szCs w:val="28"/>
        </w:rPr>
        <w:t>。</w:t>
      </w:r>
    </w:p>
    <w:p w14:paraId="1FECAA59">
      <w:pPr>
        <w:pStyle w:val="18"/>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转运监护仪，满足救护车，直升飞机和固定翼飞机,通过相关转运标准</w:t>
      </w:r>
      <w:r>
        <w:rPr>
          <w:rFonts w:hint="eastAsia" w:ascii="仿宋" w:hAnsi="仿宋" w:eastAsia="仿宋" w:cs="仿宋"/>
          <w:kern w:val="0"/>
          <w:sz w:val="28"/>
          <w:szCs w:val="28"/>
        </w:rPr>
        <w:t>。</w:t>
      </w:r>
    </w:p>
    <w:p w14:paraId="56565CFA">
      <w:pPr>
        <w:pStyle w:val="18"/>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w:t>
      </w:r>
      <w:r>
        <w:rPr>
          <w:rFonts w:hint="eastAsia" w:ascii="仿宋" w:hAnsi="仿宋" w:eastAsia="仿宋" w:cs="仿宋"/>
          <w:sz w:val="28"/>
          <w:szCs w:val="28"/>
        </w:rPr>
        <w:t>5.5英寸彩色触摸电容显示屏，支持屏幕手势滑动操作，支持穿戴医用防护手套操作，</w:t>
      </w:r>
    </w:p>
    <w:p w14:paraId="0124B1C4">
      <w:pPr>
        <w:pStyle w:val="18"/>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整机重量＜1Kg，小巧便携</w:t>
      </w:r>
    </w:p>
    <w:p w14:paraId="3A8E7770">
      <w:pPr>
        <w:pStyle w:val="18"/>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IP44防尘防水，易清洁和适用医院内外不同临床救治环境</w:t>
      </w:r>
      <w:r>
        <w:rPr>
          <w:rFonts w:hint="eastAsia" w:ascii="仿宋" w:hAnsi="仿宋" w:eastAsia="仿宋" w:cs="仿宋"/>
          <w:kern w:val="0"/>
          <w:sz w:val="28"/>
          <w:szCs w:val="28"/>
        </w:rPr>
        <w:t>。</w:t>
      </w:r>
    </w:p>
    <w:p w14:paraId="42782A75">
      <w:pPr>
        <w:pStyle w:val="18"/>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坚固耐用，抗1.2米6面跌落，满足转运过程中的复杂临床救治环境</w:t>
      </w:r>
      <w:r>
        <w:rPr>
          <w:rFonts w:hint="eastAsia" w:ascii="仿宋" w:hAnsi="仿宋" w:eastAsia="仿宋" w:cs="仿宋"/>
          <w:kern w:val="0"/>
          <w:sz w:val="28"/>
          <w:szCs w:val="28"/>
        </w:rPr>
        <w:t>。</w:t>
      </w:r>
    </w:p>
    <w:p w14:paraId="55132C34">
      <w:pPr>
        <w:pStyle w:val="18"/>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整机无风扇设计</w:t>
      </w:r>
      <w:r>
        <w:rPr>
          <w:rFonts w:hint="eastAsia" w:ascii="仿宋" w:hAnsi="仿宋" w:eastAsia="仿宋" w:cs="仿宋"/>
          <w:kern w:val="0"/>
          <w:sz w:val="28"/>
          <w:szCs w:val="28"/>
        </w:rPr>
        <w:t>。</w:t>
      </w:r>
    </w:p>
    <w:p w14:paraId="6F454F6E">
      <w:pPr>
        <w:pStyle w:val="18"/>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内置锂电池供电，支持</w:t>
      </w:r>
      <w:r>
        <w:rPr>
          <w:rFonts w:hint="eastAsia" w:ascii="仿宋" w:hAnsi="仿宋" w:eastAsia="仿宋" w:cs="仿宋"/>
          <w:kern w:val="0"/>
          <w:sz w:val="28"/>
          <w:szCs w:val="28"/>
        </w:rPr>
        <w:t>≥</w:t>
      </w:r>
      <w:r>
        <w:rPr>
          <w:rFonts w:hint="eastAsia" w:ascii="仿宋" w:hAnsi="仿宋" w:eastAsia="仿宋" w:cs="仿宋"/>
          <w:sz w:val="28"/>
          <w:szCs w:val="28"/>
        </w:rPr>
        <w:t>5小时的持续监测</w:t>
      </w:r>
      <w:r>
        <w:rPr>
          <w:rFonts w:hint="eastAsia" w:ascii="仿宋" w:hAnsi="仿宋" w:eastAsia="仿宋" w:cs="仿宋"/>
          <w:kern w:val="0"/>
          <w:sz w:val="28"/>
          <w:szCs w:val="28"/>
        </w:rPr>
        <w:t>。</w:t>
      </w:r>
    </w:p>
    <w:p w14:paraId="17D548B4">
      <w:pPr>
        <w:pStyle w:val="18"/>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内置DC电源接口，可以进行车载充电</w:t>
      </w:r>
      <w:r>
        <w:rPr>
          <w:rFonts w:hint="eastAsia" w:ascii="仿宋" w:hAnsi="仿宋" w:eastAsia="仿宋" w:cs="仿宋"/>
          <w:kern w:val="0"/>
          <w:sz w:val="28"/>
          <w:szCs w:val="28"/>
        </w:rPr>
        <w:t>。</w:t>
      </w:r>
    </w:p>
    <w:p w14:paraId="1C69FE83">
      <w:pPr>
        <w:pStyle w:val="18"/>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具备3/5导心电，阻抗呼吸，血氧、无创血压、2通道体温</w:t>
      </w:r>
      <w:r>
        <w:rPr>
          <w:rFonts w:hint="eastAsia" w:ascii="仿宋" w:hAnsi="仿宋" w:eastAsia="仿宋" w:cs="仿宋"/>
          <w:kern w:val="0"/>
          <w:sz w:val="28"/>
          <w:szCs w:val="28"/>
        </w:rPr>
        <w:t>。</w:t>
      </w:r>
    </w:p>
    <w:p w14:paraId="16CF9B2A">
      <w:pPr>
        <w:pStyle w:val="18"/>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sz w:val="28"/>
          <w:szCs w:val="28"/>
          <w:lang w:val="en-US" w:eastAsia="zh-CN"/>
        </w:rPr>
        <w:t>11、</w:t>
      </w:r>
      <w:r>
        <w:rPr>
          <w:rFonts w:hint="eastAsia" w:ascii="仿宋" w:hAnsi="仿宋" w:eastAsia="仿宋" w:cs="仿宋"/>
          <w:sz w:val="28"/>
          <w:szCs w:val="28"/>
        </w:rPr>
        <w:t xml:space="preserve">支持2通道有创血压及模拟输出/除颤同步。 </w:t>
      </w:r>
    </w:p>
    <w:p w14:paraId="6C82447B">
      <w:pPr>
        <w:pStyle w:val="18"/>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sz w:val="28"/>
          <w:szCs w:val="28"/>
          <w:lang w:val="en-US" w:eastAsia="zh-CN"/>
        </w:rPr>
        <w:t>12、</w:t>
      </w:r>
      <w:r>
        <w:rPr>
          <w:rFonts w:hint="eastAsia" w:ascii="仿宋" w:hAnsi="仿宋" w:eastAsia="仿宋" w:cs="仿宋"/>
          <w:sz w:val="28"/>
          <w:szCs w:val="28"/>
        </w:rPr>
        <w:t>可选配内置EtCO2监测，与主机一体化设计，最小抽气流速50ml/min</w:t>
      </w:r>
    </w:p>
    <w:p w14:paraId="6552CEA1">
      <w:pPr>
        <w:pStyle w:val="18"/>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sz w:val="28"/>
          <w:szCs w:val="28"/>
          <w:lang w:val="en-US" w:eastAsia="zh-CN"/>
        </w:rPr>
        <w:t>13、</w:t>
      </w:r>
      <w:r>
        <w:rPr>
          <w:rFonts w:hint="eastAsia" w:ascii="仿宋" w:hAnsi="仿宋" w:eastAsia="仿宋" w:cs="仿宋"/>
          <w:sz w:val="28"/>
          <w:szCs w:val="28"/>
        </w:rPr>
        <w:t>选配便携插件箱，可扩展1个参数插槽，满足插入更多参数模块的监测扩展。</w:t>
      </w:r>
    </w:p>
    <w:p w14:paraId="4ACC1F43">
      <w:pPr>
        <w:pStyle w:val="18"/>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sz w:val="28"/>
          <w:szCs w:val="28"/>
          <w:lang w:val="en-US" w:eastAsia="zh-CN"/>
        </w:rPr>
        <w:t>14、</w:t>
      </w:r>
      <w:r>
        <w:rPr>
          <w:rFonts w:hint="eastAsia" w:ascii="仿宋" w:hAnsi="仿宋" w:eastAsia="仿宋" w:cs="仿宋"/>
          <w:sz w:val="28"/>
          <w:szCs w:val="28"/>
        </w:rPr>
        <w:t>可选配外置2通道IBP有创血压监测模块，主机最多支持4通道IBP有创压力监测</w:t>
      </w:r>
    </w:p>
    <w:p w14:paraId="26A4D31A">
      <w:pPr>
        <w:pStyle w:val="18"/>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sz w:val="28"/>
          <w:szCs w:val="28"/>
          <w:lang w:val="en-US" w:eastAsia="zh-CN"/>
        </w:rPr>
        <w:t>15、</w:t>
      </w:r>
      <w:r>
        <w:rPr>
          <w:rFonts w:hint="eastAsia" w:ascii="仿宋" w:hAnsi="仿宋" w:eastAsia="仿宋" w:cs="仿宋"/>
          <w:sz w:val="28"/>
          <w:szCs w:val="28"/>
        </w:rPr>
        <w:t>可选配外置主流、旁流、微流EtCO2监测模块</w:t>
      </w:r>
    </w:p>
    <w:p w14:paraId="1EFADB85">
      <w:pPr>
        <w:pStyle w:val="18"/>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sz w:val="28"/>
          <w:szCs w:val="28"/>
          <w:lang w:val="en-US" w:eastAsia="zh-CN"/>
        </w:rPr>
        <w:t>16、</w:t>
      </w:r>
      <w:r>
        <w:rPr>
          <w:rFonts w:hint="eastAsia" w:ascii="仿宋" w:hAnsi="仿宋" w:eastAsia="仿宋" w:cs="仿宋"/>
          <w:sz w:val="28"/>
          <w:szCs w:val="28"/>
        </w:rPr>
        <w:t>可选配外置PiCCO技术监测功能模块或PiCCO技术单机产品，非漂浮导管热稀释法或无创阻抗法，可监测胸腔内血容量(ITBV)、血管外肺水(EVLW)，肺毛细血管通透性指数(PVPI)等参数，提供完整的血流动力学参数监测</w:t>
      </w:r>
    </w:p>
    <w:p w14:paraId="15E13F43">
      <w:pPr>
        <w:pStyle w:val="18"/>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sz w:val="28"/>
          <w:szCs w:val="28"/>
          <w:lang w:val="en-US" w:eastAsia="zh-CN"/>
        </w:rPr>
        <w:t>17、</w:t>
      </w:r>
      <w:r>
        <w:rPr>
          <w:rFonts w:hint="eastAsia" w:ascii="仿宋" w:hAnsi="仿宋" w:eastAsia="仿宋" w:cs="仿宋"/>
          <w:sz w:val="28"/>
          <w:szCs w:val="28"/>
        </w:rPr>
        <w:t>可选配19英寸外接显示屏，将模块数据传输显示，进行大屏幕监护，满足临床护理人员在床旁的监护需要。</w:t>
      </w:r>
    </w:p>
    <w:p w14:paraId="33D379A3">
      <w:pPr>
        <w:pStyle w:val="18"/>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sz w:val="28"/>
          <w:szCs w:val="28"/>
          <w:lang w:val="en-US" w:eastAsia="zh-CN"/>
        </w:rPr>
        <w:t>18、</w:t>
      </w:r>
      <w:r>
        <w:rPr>
          <w:rFonts w:hint="eastAsia" w:ascii="仿宋" w:hAnsi="仿宋" w:eastAsia="仿宋" w:cs="仿宋"/>
          <w:sz w:val="28"/>
          <w:szCs w:val="28"/>
        </w:rPr>
        <w:t>转运监护仪支持插入床旁监护仪插槽作为参数模块使用，即插即用。</w:t>
      </w:r>
    </w:p>
    <w:p w14:paraId="344AA717">
      <w:pPr>
        <w:pStyle w:val="18"/>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sz w:val="28"/>
          <w:szCs w:val="28"/>
          <w:lang w:val="en-US" w:eastAsia="zh-CN"/>
        </w:rPr>
        <w:t>19、</w:t>
      </w:r>
      <w:r>
        <w:rPr>
          <w:rFonts w:hint="eastAsia" w:ascii="仿宋" w:hAnsi="仿宋" w:eastAsia="仿宋" w:cs="仿宋"/>
          <w:sz w:val="28"/>
          <w:szCs w:val="28"/>
        </w:rPr>
        <w:t>具有多导心电监护算法 ，同步分析</w:t>
      </w:r>
      <w:r>
        <w:rPr>
          <w:rFonts w:hint="eastAsia" w:ascii="仿宋" w:hAnsi="仿宋" w:eastAsia="仿宋" w:cs="仿宋"/>
          <w:kern w:val="0"/>
          <w:sz w:val="28"/>
          <w:szCs w:val="28"/>
        </w:rPr>
        <w:t>≥</w:t>
      </w:r>
      <w:r>
        <w:rPr>
          <w:rFonts w:hint="eastAsia" w:ascii="仿宋" w:hAnsi="仿宋" w:eastAsia="仿宋" w:cs="仿宋"/>
          <w:sz w:val="28"/>
          <w:szCs w:val="28"/>
        </w:rPr>
        <w:t>4通道心电波形，能够良好抗干扰。</w:t>
      </w:r>
    </w:p>
    <w:p w14:paraId="60BF81D6">
      <w:pPr>
        <w:pStyle w:val="18"/>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sz w:val="28"/>
          <w:szCs w:val="28"/>
          <w:lang w:val="en-US" w:eastAsia="zh-CN"/>
        </w:rPr>
        <w:t>20、</w:t>
      </w:r>
      <w:r>
        <w:rPr>
          <w:rFonts w:hint="eastAsia" w:ascii="仿宋" w:hAnsi="仿宋" w:eastAsia="仿宋" w:cs="仿宋"/>
          <w:sz w:val="28"/>
          <w:szCs w:val="28"/>
        </w:rPr>
        <w:t>心率测量范围：成人15 -300 bpm，小儿/新生儿15 - 350 bpm。</w:t>
      </w:r>
    </w:p>
    <w:p w14:paraId="21CED7B2">
      <w:pPr>
        <w:pStyle w:val="18"/>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sz w:val="28"/>
          <w:szCs w:val="28"/>
          <w:lang w:val="en-US" w:eastAsia="zh-CN"/>
        </w:rPr>
        <w:t>21、</w:t>
      </w:r>
      <w:r>
        <w:rPr>
          <w:rFonts w:hint="eastAsia" w:ascii="仿宋" w:hAnsi="仿宋" w:eastAsia="仿宋" w:cs="仿宋"/>
          <w:sz w:val="28"/>
          <w:szCs w:val="28"/>
        </w:rPr>
        <w:t>波速提供50mm/s，25 mm/s、12.5 mm/s、6.25 mm/s可选。</w:t>
      </w:r>
    </w:p>
    <w:p w14:paraId="4B269011">
      <w:pPr>
        <w:pStyle w:val="18"/>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sz w:val="28"/>
          <w:szCs w:val="28"/>
          <w:lang w:val="en-US" w:eastAsia="zh-CN"/>
        </w:rPr>
        <w:t>22、</w:t>
      </w:r>
      <w:r>
        <w:rPr>
          <w:rFonts w:hint="eastAsia" w:ascii="仿宋" w:hAnsi="仿宋" w:eastAsia="仿宋" w:cs="仿宋"/>
          <w:sz w:val="28"/>
          <w:szCs w:val="28"/>
        </w:rPr>
        <w:t>滤波模式提供诊断模式（0.05 -150Hz），监护模式（0.5 -40Hz），ST模式（0.05 - 40Hz），手术模式（1-20Hz）。</w:t>
      </w:r>
    </w:p>
    <w:p w14:paraId="4FE3A062">
      <w:pPr>
        <w:pStyle w:val="18"/>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sz w:val="28"/>
          <w:szCs w:val="28"/>
          <w:lang w:val="en-US" w:eastAsia="zh-CN"/>
        </w:rPr>
        <w:t>23、</w:t>
      </w:r>
      <w:r>
        <w:rPr>
          <w:rFonts w:hint="eastAsia" w:ascii="仿宋" w:hAnsi="仿宋" w:eastAsia="仿宋" w:cs="仿宋"/>
          <w:sz w:val="28"/>
          <w:szCs w:val="28"/>
        </w:rPr>
        <w:t>支持房颤及室上性心律失常分析功能，如：室上性心动过速，SVCs/min等，标配支持≥25种实时心律失常分析</w:t>
      </w:r>
    </w:p>
    <w:p w14:paraId="19CE3B92">
      <w:pPr>
        <w:pStyle w:val="18"/>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sz w:val="28"/>
          <w:szCs w:val="28"/>
          <w:lang w:val="en-US" w:eastAsia="zh-CN"/>
        </w:rPr>
        <w:t>24、</w:t>
      </w:r>
      <w:r>
        <w:rPr>
          <w:rFonts w:hint="eastAsia" w:ascii="仿宋" w:hAnsi="仿宋" w:eastAsia="仿宋" w:cs="仿宋"/>
          <w:sz w:val="28"/>
          <w:szCs w:val="28"/>
        </w:rPr>
        <w:t>提供ST段分析，提供显示和存储ST值和每个ST的模板</w:t>
      </w:r>
      <w:r>
        <w:rPr>
          <w:rFonts w:hint="eastAsia" w:ascii="仿宋" w:hAnsi="仿宋" w:eastAsia="仿宋" w:cs="仿宋"/>
          <w:kern w:val="0"/>
          <w:sz w:val="28"/>
          <w:szCs w:val="28"/>
        </w:rPr>
        <w:t>。</w:t>
      </w:r>
    </w:p>
    <w:p w14:paraId="5446FA07">
      <w:pPr>
        <w:pStyle w:val="18"/>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sz w:val="28"/>
          <w:szCs w:val="28"/>
          <w:lang w:val="en-US" w:eastAsia="zh-CN"/>
        </w:rPr>
        <w:t>25、</w:t>
      </w:r>
      <w:r>
        <w:rPr>
          <w:rFonts w:hint="eastAsia" w:ascii="仿宋" w:hAnsi="仿宋" w:eastAsia="仿宋" w:cs="仿宋"/>
          <w:sz w:val="28"/>
          <w:szCs w:val="28"/>
        </w:rPr>
        <w:t>具有QT/QTc测量功能，提供QT，QTc和ΔQTc参数值。</w:t>
      </w:r>
    </w:p>
    <w:p w14:paraId="681D5EA0">
      <w:pPr>
        <w:pStyle w:val="18"/>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sz w:val="28"/>
          <w:szCs w:val="28"/>
          <w:lang w:val="en-US" w:eastAsia="zh-CN"/>
        </w:rPr>
        <w:t>26、</w:t>
      </w:r>
      <w:r>
        <w:rPr>
          <w:rFonts w:hint="eastAsia" w:ascii="仿宋" w:hAnsi="仿宋" w:eastAsia="仿宋" w:cs="仿宋"/>
          <w:sz w:val="28"/>
          <w:szCs w:val="28"/>
        </w:rPr>
        <w:t>可显示弱灌注指数（PI）。</w:t>
      </w:r>
    </w:p>
    <w:p w14:paraId="50C50C8C">
      <w:pPr>
        <w:pStyle w:val="18"/>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sz w:val="28"/>
          <w:szCs w:val="28"/>
          <w:lang w:val="en-US" w:eastAsia="zh-CN"/>
        </w:rPr>
        <w:t>27、</w:t>
      </w:r>
      <w:r>
        <w:rPr>
          <w:rFonts w:hint="eastAsia" w:ascii="仿宋" w:hAnsi="仿宋" w:eastAsia="仿宋" w:cs="仿宋"/>
          <w:sz w:val="28"/>
          <w:szCs w:val="28"/>
        </w:rPr>
        <w:t>提供双通道体温测量，提供两通道体温测量差值显示。</w:t>
      </w:r>
    </w:p>
    <w:p w14:paraId="4BCB57B8">
      <w:pPr>
        <w:pStyle w:val="18"/>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sz w:val="28"/>
          <w:szCs w:val="28"/>
          <w:lang w:val="en-US" w:eastAsia="zh-CN"/>
        </w:rPr>
        <w:t>28、</w:t>
      </w:r>
      <w:r>
        <w:rPr>
          <w:rFonts w:hint="eastAsia" w:ascii="仿宋" w:hAnsi="仿宋" w:eastAsia="仿宋" w:cs="仿宋"/>
          <w:sz w:val="28"/>
          <w:szCs w:val="28"/>
        </w:rPr>
        <w:t>提供手动、自动间隔、连续、序列四种无创血压测量模式。</w:t>
      </w:r>
    </w:p>
    <w:p w14:paraId="40337331">
      <w:pPr>
        <w:pStyle w:val="18"/>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sz w:val="28"/>
          <w:szCs w:val="28"/>
          <w:lang w:val="en-US" w:eastAsia="zh-CN"/>
        </w:rPr>
        <w:t>29、</w:t>
      </w:r>
      <w:r>
        <w:rPr>
          <w:rFonts w:hint="eastAsia" w:ascii="仿宋" w:hAnsi="仿宋" w:eastAsia="仿宋" w:cs="仿宋"/>
          <w:sz w:val="28"/>
          <w:szCs w:val="28"/>
        </w:rPr>
        <w:t>IBP测量范围：-50 – 360 mmHg，支持实时PPV测量</w:t>
      </w:r>
      <w:r>
        <w:rPr>
          <w:rFonts w:hint="eastAsia" w:ascii="仿宋" w:hAnsi="仿宋" w:eastAsia="仿宋" w:cs="仿宋"/>
          <w:kern w:val="0"/>
          <w:sz w:val="28"/>
          <w:szCs w:val="28"/>
        </w:rPr>
        <w:t>。</w:t>
      </w:r>
    </w:p>
    <w:p w14:paraId="34491826">
      <w:pPr>
        <w:pStyle w:val="18"/>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kern w:val="0"/>
          <w:sz w:val="28"/>
          <w:szCs w:val="28"/>
          <w:lang w:val="en-US" w:eastAsia="zh-CN"/>
        </w:rPr>
        <w:t>30、</w:t>
      </w:r>
      <w:r>
        <w:rPr>
          <w:rFonts w:hint="eastAsia" w:ascii="仿宋" w:hAnsi="仿宋" w:eastAsia="仿宋" w:cs="仿宋"/>
          <w:kern w:val="0"/>
          <w:sz w:val="28"/>
          <w:szCs w:val="28"/>
        </w:rPr>
        <w:t>≥</w:t>
      </w:r>
      <w:r>
        <w:rPr>
          <w:rFonts w:hint="eastAsia" w:ascii="仿宋" w:hAnsi="仿宋" w:eastAsia="仿宋" w:cs="仿宋"/>
          <w:sz w:val="28"/>
          <w:szCs w:val="28"/>
        </w:rPr>
        <w:t>800条事件回顾。每条报警事件至少能够存储32秒三道相关波形，以及报警触发时所有测量参数值。</w:t>
      </w:r>
    </w:p>
    <w:p w14:paraId="2DF2DB0B">
      <w:pPr>
        <w:pStyle w:val="18"/>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kern w:val="0"/>
          <w:sz w:val="28"/>
          <w:szCs w:val="28"/>
          <w:lang w:val="en-US" w:eastAsia="zh-CN"/>
        </w:rPr>
        <w:t>31、</w:t>
      </w:r>
      <w:r>
        <w:rPr>
          <w:rFonts w:hint="eastAsia" w:ascii="仿宋" w:hAnsi="仿宋" w:eastAsia="仿宋" w:cs="仿宋"/>
          <w:kern w:val="0"/>
          <w:sz w:val="28"/>
          <w:szCs w:val="28"/>
        </w:rPr>
        <w:t>≥</w:t>
      </w:r>
      <w:r>
        <w:rPr>
          <w:rFonts w:hint="eastAsia" w:ascii="仿宋" w:hAnsi="仿宋" w:eastAsia="仿宋" w:cs="仿宋"/>
          <w:sz w:val="28"/>
          <w:szCs w:val="28"/>
        </w:rPr>
        <w:t>800条NIBP测量结果回顾。</w:t>
      </w:r>
    </w:p>
    <w:p w14:paraId="17B4E291">
      <w:pPr>
        <w:pStyle w:val="18"/>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kern w:val="0"/>
          <w:sz w:val="28"/>
          <w:szCs w:val="28"/>
          <w:lang w:val="en-US" w:eastAsia="zh-CN"/>
        </w:rPr>
        <w:t>32、</w:t>
      </w:r>
      <w:r>
        <w:rPr>
          <w:rFonts w:hint="eastAsia" w:ascii="仿宋" w:hAnsi="仿宋" w:eastAsia="仿宋" w:cs="仿宋"/>
          <w:kern w:val="0"/>
          <w:sz w:val="28"/>
          <w:szCs w:val="28"/>
        </w:rPr>
        <w:t>≥</w:t>
      </w:r>
      <w:r>
        <w:rPr>
          <w:rFonts w:hint="eastAsia" w:ascii="仿宋" w:hAnsi="仿宋" w:eastAsia="仿宋" w:cs="仿宋"/>
          <w:sz w:val="28"/>
          <w:szCs w:val="28"/>
        </w:rPr>
        <w:t>40小时全息波形回顾。</w:t>
      </w:r>
    </w:p>
    <w:p w14:paraId="1D5D888E">
      <w:pPr>
        <w:pStyle w:val="18"/>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kern w:val="0"/>
          <w:sz w:val="28"/>
          <w:szCs w:val="28"/>
          <w:lang w:val="en-US" w:eastAsia="zh-CN"/>
        </w:rPr>
        <w:t>33、</w:t>
      </w:r>
      <w:r>
        <w:rPr>
          <w:rFonts w:hint="eastAsia" w:ascii="仿宋" w:hAnsi="仿宋" w:eastAsia="仿宋" w:cs="仿宋"/>
          <w:kern w:val="0"/>
          <w:sz w:val="28"/>
          <w:szCs w:val="28"/>
        </w:rPr>
        <w:t>≥</w:t>
      </w:r>
      <w:r>
        <w:rPr>
          <w:rFonts w:hint="eastAsia" w:ascii="仿宋" w:hAnsi="仿宋" w:eastAsia="仿宋" w:cs="仿宋"/>
          <w:sz w:val="28"/>
          <w:szCs w:val="28"/>
        </w:rPr>
        <w:t>100小时趋势数据回顾。</w:t>
      </w:r>
    </w:p>
    <w:p w14:paraId="2EBABA02">
      <w:pPr>
        <w:pStyle w:val="18"/>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sz w:val="28"/>
          <w:szCs w:val="28"/>
          <w:lang w:val="en-US" w:eastAsia="zh-CN"/>
        </w:rPr>
        <w:t>34、</w:t>
      </w:r>
      <w:r>
        <w:rPr>
          <w:rFonts w:hint="eastAsia" w:ascii="仿宋" w:hAnsi="仿宋" w:eastAsia="仿宋" w:cs="仿宋"/>
          <w:sz w:val="28"/>
          <w:szCs w:val="28"/>
        </w:rPr>
        <w:t>通过国家III类注册和FDA认证。</w:t>
      </w:r>
    </w:p>
    <w:p w14:paraId="64008F31">
      <w:pPr>
        <w:pStyle w:val="18"/>
        <w:numPr>
          <w:ilvl w:val="0"/>
          <w:numId w:val="0"/>
        </w:numPr>
        <w:spacing w:line="360" w:lineRule="auto"/>
        <w:ind w:leftChars="0"/>
        <w:rPr>
          <w:rFonts w:hint="eastAsia" w:ascii="仿宋" w:hAnsi="仿宋" w:eastAsia="仿宋" w:cs="仿宋"/>
          <w:kern w:val="0"/>
          <w:sz w:val="28"/>
          <w:szCs w:val="28"/>
        </w:rPr>
      </w:pPr>
      <w:r>
        <w:rPr>
          <w:rFonts w:hint="eastAsia" w:ascii="仿宋" w:hAnsi="仿宋" w:eastAsia="仿宋" w:cs="仿宋"/>
          <w:sz w:val="28"/>
          <w:szCs w:val="28"/>
          <w:lang w:val="en-US" w:eastAsia="zh-CN"/>
        </w:rPr>
        <w:t>35、</w:t>
      </w:r>
      <w:r>
        <w:rPr>
          <w:rFonts w:hint="eastAsia" w:ascii="仿宋" w:hAnsi="仿宋" w:eastAsia="仿宋" w:cs="仿宋"/>
          <w:sz w:val="28"/>
          <w:szCs w:val="28"/>
        </w:rPr>
        <w:t>产品设计使用年限</w:t>
      </w:r>
      <w:r>
        <w:rPr>
          <w:rFonts w:hint="eastAsia" w:ascii="仿宋" w:hAnsi="仿宋" w:eastAsia="仿宋" w:cs="仿宋"/>
          <w:kern w:val="0"/>
          <w:sz w:val="28"/>
          <w:szCs w:val="28"/>
        </w:rPr>
        <w:t>≥10年。</w:t>
      </w:r>
    </w:p>
    <w:p w14:paraId="057108A6">
      <w:pPr>
        <w:pStyle w:val="18"/>
        <w:numPr>
          <w:ilvl w:val="0"/>
          <w:numId w:val="0"/>
        </w:numPr>
        <w:spacing w:line="360" w:lineRule="auto"/>
        <w:ind w:leftChars="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36.所投产品要求符合上述参数要求，并作出响应说明。</w:t>
      </w:r>
    </w:p>
    <w:p w14:paraId="638C5964">
      <w:pPr>
        <w:pStyle w:val="18"/>
        <w:numPr>
          <w:ilvl w:val="0"/>
          <w:numId w:val="0"/>
        </w:numPr>
        <w:spacing w:line="360" w:lineRule="auto"/>
        <w:ind w:leftChars="0"/>
        <w:rPr>
          <w:rFonts w:hint="eastAsia" w:ascii="仿宋" w:hAnsi="仿宋" w:eastAsia="仿宋" w:cs="仿宋"/>
          <w:kern w:val="0"/>
          <w:sz w:val="28"/>
          <w:szCs w:val="28"/>
          <w:lang w:val="en-US" w:eastAsia="zh-CN"/>
        </w:rPr>
      </w:pPr>
    </w:p>
    <w:p w14:paraId="1295C345">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eastAsia" w:asciiTheme="minorEastAsia" w:hAnsiTheme="minorEastAsia"/>
          <w:b/>
          <w:bCs/>
          <w:kern w:val="0"/>
          <w:sz w:val="32"/>
          <w:szCs w:val="32"/>
          <w:lang w:val="en-US" w:eastAsia="zh-CN"/>
        </w:rPr>
      </w:pPr>
      <w:r>
        <w:rPr>
          <w:rFonts w:hint="eastAsia" w:asciiTheme="minorEastAsia" w:hAnsiTheme="minorEastAsia"/>
          <w:b/>
          <w:bCs/>
          <w:kern w:val="0"/>
          <w:sz w:val="32"/>
          <w:szCs w:val="32"/>
          <w:lang w:val="en-US" w:eastAsia="zh-CN"/>
        </w:rPr>
        <w:t>服务要求响应表</w:t>
      </w:r>
    </w:p>
    <w:p w14:paraId="3CE70CD4">
      <w:pPr>
        <w:rPr>
          <w:rFonts w:hint="default"/>
          <w:lang w:val="en-US" w:eastAsia="zh-CN"/>
        </w:rPr>
      </w:pPr>
    </w:p>
    <w:p w14:paraId="66148E95">
      <w:pPr>
        <w:pStyle w:val="18"/>
        <w:numPr>
          <w:ilvl w:val="0"/>
          <w:numId w:val="0"/>
        </w:numPr>
        <w:spacing w:line="360" w:lineRule="auto"/>
        <w:ind w:leftChars="0"/>
        <w:rPr>
          <w:rFonts w:hint="eastAsia" w:ascii="仿宋" w:hAnsi="仿宋" w:eastAsia="仿宋" w:cs="仿宋"/>
          <w:sz w:val="28"/>
          <w:szCs w:val="28"/>
          <w:lang w:val="en-US" w:eastAsia="zh-CN"/>
        </w:rPr>
      </w:pPr>
    </w:p>
    <w:p w14:paraId="308EE5EF">
      <w:pPr>
        <w:pStyle w:val="18"/>
        <w:numPr>
          <w:ilvl w:val="0"/>
          <w:numId w:val="0"/>
        </w:numPr>
        <w:spacing w:line="360" w:lineRule="auto"/>
        <w:ind w:leftChars="0"/>
        <w:rPr>
          <w:rFonts w:hint="eastAsia" w:ascii="仿宋" w:hAnsi="仿宋" w:eastAsia="仿宋" w:cs="仿宋"/>
          <w:b/>
          <w:bCs/>
          <w:sz w:val="28"/>
          <w:szCs w:val="28"/>
          <w:u w:val="single"/>
          <w:lang w:val="en-US" w:eastAsia="zh-CN"/>
        </w:rPr>
      </w:pPr>
      <w:r>
        <w:rPr>
          <w:rFonts w:hint="eastAsia" w:ascii="仿宋" w:hAnsi="仿宋" w:eastAsia="仿宋" w:cs="仿宋"/>
          <w:sz w:val="28"/>
          <w:szCs w:val="28"/>
          <w:lang w:val="en-US" w:eastAsia="zh-CN"/>
        </w:rPr>
        <w:t>说明：供应商必须仔细阅读文件中所有规范条款，并对所有技术商务规范偏离的条目列入下表，未列入下表的视作供应商不响应。</w:t>
      </w:r>
      <w:r>
        <w:rPr>
          <w:rFonts w:hint="eastAsia" w:ascii="仿宋" w:hAnsi="仿宋" w:eastAsia="仿宋" w:cs="仿宋"/>
          <w:b/>
          <w:bCs/>
          <w:sz w:val="28"/>
          <w:szCs w:val="28"/>
          <w:u w:val="single"/>
          <w:lang w:val="en-US" w:eastAsia="zh-CN"/>
        </w:rPr>
        <w:t>供应商必须根据所投产品的实际情况如实填写，评委会如发现有虚假描述的，该响应文件作废标处理。</w:t>
      </w:r>
    </w:p>
    <w:p w14:paraId="68AE500E">
      <w:pPr>
        <w:pStyle w:val="18"/>
        <w:numPr>
          <w:ilvl w:val="0"/>
          <w:numId w:val="0"/>
        </w:numPr>
        <w:spacing w:line="360" w:lineRule="auto"/>
        <w:ind w:leftChars="0"/>
        <w:rPr>
          <w:rFonts w:hint="eastAsia" w:ascii="仿宋" w:hAnsi="仿宋" w:eastAsia="仿宋" w:cs="仿宋"/>
          <w:b/>
          <w:bCs/>
          <w:sz w:val="28"/>
          <w:szCs w:val="28"/>
          <w:u w:val="single"/>
          <w:lang w:val="en-US" w:eastAsia="zh-CN"/>
        </w:rPr>
      </w:pPr>
    </w:p>
    <w:tbl>
      <w:tblPr>
        <w:tblStyle w:val="13"/>
        <w:tblW w:w="9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4"/>
        <w:gridCol w:w="4011"/>
        <w:gridCol w:w="1566"/>
        <w:gridCol w:w="1528"/>
      </w:tblGrid>
      <w:tr w14:paraId="4D116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44" w:type="dxa"/>
          </w:tcPr>
          <w:p w14:paraId="7A87E5B7">
            <w:pPr>
              <w:pStyle w:val="18"/>
              <w:numPr>
                <w:ilvl w:val="0"/>
                <w:numId w:val="0"/>
              </w:numPr>
              <w:spacing w:line="360" w:lineRule="auto"/>
              <w:jc w:val="center"/>
              <w:rPr>
                <w:rFonts w:hint="default" w:ascii="仿宋" w:hAnsi="仿宋" w:eastAsia="仿宋" w:cs="仿宋"/>
                <w:b/>
                <w:bCs/>
                <w:sz w:val="24"/>
                <w:szCs w:val="24"/>
                <w:u w:val="single"/>
                <w:vertAlign w:val="baseline"/>
                <w:lang w:val="en-US" w:eastAsia="zh-CN"/>
              </w:rPr>
            </w:pPr>
            <w:r>
              <w:rPr>
                <w:rFonts w:hint="eastAsia" w:ascii="仿宋" w:hAnsi="仿宋" w:eastAsia="仿宋" w:cs="仿宋"/>
                <w:sz w:val="24"/>
                <w:szCs w:val="24"/>
                <w:lang w:val="en-US" w:eastAsia="zh-CN"/>
              </w:rPr>
              <w:t>文件条款目录号</w:t>
            </w:r>
          </w:p>
        </w:tc>
        <w:tc>
          <w:tcPr>
            <w:tcW w:w="4011" w:type="dxa"/>
          </w:tcPr>
          <w:p w14:paraId="4D9803A1">
            <w:pPr>
              <w:pStyle w:val="18"/>
              <w:numPr>
                <w:ilvl w:val="0"/>
                <w:numId w:val="0"/>
              </w:numPr>
              <w:spacing w:line="360" w:lineRule="auto"/>
              <w:jc w:val="center"/>
              <w:rPr>
                <w:rFonts w:hint="default" w:ascii="仿宋" w:hAnsi="仿宋" w:eastAsia="仿宋" w:cs="仿宋"/>
                <w:b/>
                <w:bCs/>
                <w:sz w:val="24"/>
                <w:szCs w:val="24"/>
                <w:u w:val="single"/>
                <w:vertAlign w:val="baseline"/>
                <w:lang w:val="en-US" w:eastAsia="zh-CN"/>
              </w:rPr>
            </w:pPr>
            <w:r>
              <w:rPr>
                <w:rFonts w:hint="eastAsia" w:ascii="仿宋" w:hAnsi="仿宋" w:eastAsia="仿宋" w:cs="仿宋"/>
                <w:b w:val="0"/>
                <w:bCs w:val="0"/>
                <w:sz w:val="24"/>
                <w:szCs w:val="24"/>
                <w:u w:val="none"/>
                <w:vertAlign w:val="baseline"/>
                <w:lang w:val="en-US" w:eastAsia="zh-CN"/>
              </w:rPr>
              <w:t>投标人技术/商务规范条款描述</w:t>
            </w:r>
          </w:p>
        </w:tc>
        <w:tc>
          <w:tcPr>
            <w:tcW w:w="1566" w:type="dxa"/>
          </w:tcPr>
          <w:p w14:paraId="52BFFF87">
            <w:pPr>
              <w:pStyle w:val="18"/>
              <w:numPr>
                <w:ilvl w:val="0"/>
                <w:numId w:val="0"/>
              </w:numPr>
              <w:spacing w:line="360" w:lineRule="auto"/>
              <w:jc w:val="center"/>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偏离情况</w:t>
            </w:r>
          </w:p>
          <w:p w14:paraId="4C77231F">
            <w:pPr>
              <w:pStyle w:val="18"/>
              <w:numPr>
                <w:ilvl w:val="0"/>
                <w:numId w:val="0"/>
              </w:numPr>
              <w:spacing w:line="360" w:lineRule="auto"/>
              <w:jc w:val="center"/>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w:t>
            </w:r>
          </w:p>
        </w:tc>
        <w:tc>
          <w:tcPr>
            <w:tcW w:w="1528" w:type="dxa"/>
          </w:tcPr>
          <w:p w14:paraId="2D4D8CA7">
            <w:pPr>
              <w:pStyle w:val="18"/>
              <w:numPr>
                <w:ilvl w:val="0"/>
                <w:numId w:val="0"/>
              </w:numPr>
              <w:spacing w:line="360" w:lineRule="auto"/>
              <w:jc w:val="center"/>
              <w:rPr>
                <w:rFonts w:hint="default" w:ascii="仿宋" w:hAnsi="仿宋" w:eastAsia="仿宋" w:cs="仿宋"/>
                <w:b/>
                <w:bCs/>
                <w:sz w:val="28"/>
                <w:szCs w:val="28"/>
                <w:u w:val="single"/>
                <w:vertAlign w:val="baseline"/>
                <w:lang w:val="en-US" w:eastAsia="zh-CN"/>
              </w:rPr>
            </w:pPr>
            <w:r>
              <w:rPr>
                <w:rFonts w:hint="eastAsia" w:ascii="仿宋" w:hAnsi="仿宋" w:eastAsia="仿宋" w:cs="仿宋"/>
                <w:b w:val="0"/>
                <w:bCs w:val="0"/>
                <w:sz w:val="24"/>
                <w:szCs w:val="24"/>
                <w:u w:val="none"/>
                <w:vertAlign w:val="baseline"/>
                <w:lang w:val="en-US" w:eastAsia="zh-CN"/>
              </w:rPr>
              <w:t>偏离说明</w:t>
            </w:r>
          </w:p>
        </w:tc>
      </w:tr>
      <w:tr w14:paraId="7E70A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tcPr>
          <w:p w14:paraId="48EAE398">
            <w:pPr>
              <w:pStyle w:val="18"/>
              <w:numPr>
                <w:ilvl w:val="0"/>
                <w:numId w:val="0"/>
              </w:numPr>
              <w:spacing w:line="360" w:lineRule="auto"/>
              <w:jc w:val="both"/>
              <w:rPr>
                <w:rFonts w:hint="default" w:ascii="仿宋" w:hAnsi="仿宋" w:eastAsia="仿宋" w:cs="仿宋"/>
                <w:b/>
                <w:bCs/>
                <w:sz w:val="24"/>
                <w:szCs w:val="24"/>
                <w:u w:val="single"/>
                <w:vertAlign w:val="baseline"/>
                <w:lang w:val="en-US" w:eastAsia="zh-CN"/>
              </w:rPr>
            </w:pPr>
            <w:r>
              <w:rPr>
                <w:rFonts w:hint="eastAsia" w:ascii="仿宋" w:hAnsi="仿宋" w:eastAsia="仿宋" w:cs="仿宋"/>
                <w:b w:val="0"/>
                <w:bCs w:val="0"/>
                <w:color w:val="2F5597" w:themeColor="accent5" w:themeShade="BF"/>
                <w:sz w:val="24"/>
                <w:szCs w:val="24"/>
                <w:u w:val="none"/>
                <w:vertAlign w:val="baseline"/>
                <w:lang w:val="en-US" w:eastAsia="zh-CN"/>
              </w:rPr>
              <w:t>原设备参数</w:t>
            </w:r>
          </w:p>
        </w:tc>
        <w:tc>
          <w:tcPr>
            <w:tcW w:w="4011" w:type="dxa"/>
          </w:tcPr>
          <w:p w14:paraId="1643FF10">
            <w:pPr>
              <w:pStyle w:val="18"/>
              <w:numPr>
                <w:ilvl w:val="0"/>
                <w:numId w:val="0"/>
              </w:numPr>
              <w:spacing w:line="360" w:lineRule="auto"/>
              <w:jc w:val="both"/>
              <w:rPr>
                <w:rFonts w:hint="default" w:ascii="仿宋" w:hAnsi="仿宋" w:eastAsia="仿宋" w:cs="仿宋"/>
                <w:b/>
                <w:bCs/>
                <w:sz w:val="24"/>
                <w:szCs w:val="24"/>
                <w:u w:val="single"/>
                <w:vertAlign w:val="baseline"/>
                <w:lang w:val="en-US" w:eastAsia="zh-CN"/>
              </w:rPr>
            </w:pPr>
            <w:r>
              <w:rPr>
                <w:rFonts w:hint="eastAsia" w:ascii="仿宋" w:hAnsi="仿宋" w:eastAsia="仿宋" w:cs="仿宋"/>
                <w:b w:val="0"/>
                <w:bCs w:val="0"/>
                <w:color w:val="2F5597" w:themeColor="accent5" w:themeShade="BF"/>
                <w:sz w:val="24"/>
                <w:szCs w:val="24"/>
                <w:u w:val="none"/>
                <w:vertAlign w:val="baseline"/>
                <w:lang w:val="en-US" w:eastAsia="zh-CN"/>
              </w:rPr>
              <w:t>厂家提供的设备参数</w:t>
            </w:r>
          </w:p>
        </w:tc>
        <w:tc>
          <w:tcPr>
            <w:tcW w:w="1566" w:type="dxa"/>
          </w:tcPr>
          <w:p w14:paraId="32ECB04E">
            <w:pPr>
              <w:pStyle w:val="18"/>
              <w:numPr>
                <w:ilvl w:val="0"/>
                <w:numId w:val="0"/>
              </w:numPr>
              <w:spacing w:line="360" w:lineRule="auto"/>
              <w:jc w:val="both"/>
              <w:rPr>
                <w:rFonts w:hint="default" w:ascii="仿宋" w:hAnsi="仿宋" w:eastAsia="仿宋" w:cs="仿宋"/>
                <w:b/>
                <w:bCs/>
                <w:sz w:val="28"/>
                <w:szCs w:val="28"/>
                <w:u w:val="single"/>
                <w:vertAlign w:val="baseline"/>
                <w:lang w:val="en-US" w:eastAsia="zh-CN"/>
              </w:rPr>
            </w:pPr>
          </w:p>
        </w:tc>
        <w:tc>
          <w:tcPr>
            <w:tcW w:w="1528" w:type="dxa"/>
          </w:tcPr>
          <w:p w14:paraId="0E4A14B6">
            <w:pPr>
              <w:pStyle w:val="18"/>
              <w:numPr>
                <w:ilvl w:val="0"/>
                <w:numId w:val="0"/>
              </w:numPr>
              <w:spacing w:line="360" w:lineRule="auto"/>
              <w:jc w:val="both"/>
              <w:rPr>
                <w:rFonts w:hint="default" w:ascii="仿宋" w:hAnsi="仿宋" w:eastAsia="仿宋" w:cs="仿宋"/>
                <w:b/>
                <w:bCs/>
                <w:sz w:val="28"/>
                <w:szCs w:val="28"/>
                <w:u w:val="single"/>
                <w:vertAlign w:val="baseline"/>
                <w:lang w:val="en-US" w:eastAsia="zh-CN"/>
              </w:rPr>
            </w:pPr>
          </w:p>
        </w:tc>
      </w:tr>
      <w:tr w14:paraId="26BC5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tcPr>
          <w:p w14:paraId="2014A08C">
            <w:pPr>
              <w:pStyle w:val="18"/>
              <w:numPr>
                <w:ilvl w:val="0"/>
                <w:numId w:val="0"/>
              </w:numPr>
              <w:spacing w:line="360" w:lineRule="auto"/>
              <w:jc w:val="both"/>
              <w:rPr>
                <w:rFonts w:hint="default" w:ascii="仿宋" w:hAnsi="仿宋" w:eastAsia="仿宋" w:cs="仿宋"/>
                <w:b/>
                <w:bCs/>
                <w:sz w:val="28"/>
                <w:szCs w:val="28"/>
                <w:u w:val="single"/>
                <w:vertAlign w:val="baseline"/>
                <w:lang w:val="en-US" w:eastAsia="zh-CN"/>
              </w:rPr>
            </w:pPr>
          </w:p>
        </w:tc>
        <w:tc>
          <w:tcPr>
            <w:tcW w:w="4011" w:type="dxa"/>
          </w:tcPr>
          <w:p w14:paraId="76F928ED">
            <w:pPr>
              <w:pStyle w:val="18"/>
              <w:numPr>
                <w:ilvl w:val="0"/>
                <w:numId w:val="0"/>
              </w:numPr>
              <w:spacing w:line="360" w:lineRule="auto"/>
              <w:jc w:val="both"/>
              <w:rPr>
                <w:rFonts w:hint="default" w:ascii="仿宋" w:hAnsi="仿宋" w:eastAsia="仿宋" w:cs="仿宋"/>
                <w:b/>
                <w:bCs/>
                <w:sz w:val="28"/>
                <w:szCs w:val="28"/>
                <w:u w:val="single"/>
                <w:vertAlign w:val="baseline"/>
                <w:lang w:val="en-US" w:eastAsia="zh-CN"/>
              </w:rPr>
            </w:pPr>
          </w:p>
        </w:tc>
        <w:tc>
          <w:tcPr>
            <w:tcW w:w="1566" w:type="dxa"/>
          </w:tcPr>
          <w:p w14:paraId="5E837B49">
            <w:pPr>
              <w:pStyle w:val="18"/>
              <w:numPr>
                <w:ilvl w:val="0"/>
                <w:numId w:val="0"/>
              </w:numPr>
              <w:spacing w:line="360" w:lineRule="auto"/>
              <w:jc w:val="both"/>
              <w:rPr>
                <w:rFonts w:hint="default" w:ascii="仿宋" w:hAnsi="仿宋" w:eastAsia="仿宋" w:cs="仿宋"/>
                <w:b/>
                <w:bCs/>
                <w:sz w:val="28"/>
                <w:szCs w:val="28"/>
                <w:u w:val="single"/>
                <w:vertAlign w:val="baseline"/>
                <w:lang w:val="en-US" w:eastAsia="zh-CN"/>
              </w:rPr>
            </w:pPr>
          </w:p>
        </w:tc>
        <w:tc>
          <w:tcPr>
            <w:tcW w:w="1528" w:type="dxa"/>
          </w:tcPr>
          <w:p w14:paraId="7D285564">
            <w:pPr>
              <w:pStyle w:val="18"/>
              <w:numPr>
                <w:ilvl w:val="0"/>
                <w:numId w:val="0"/>
              </w:numPr>
              <w:spacing w:line="360" w:lineRule="auto"/>
              <w:jc w:val="both"/>
              <w:rPr>
                <w:rFonts w:hint="default" w:ascii="仿宋" w:hAnsi="仿宋" w:eastAsia="仿宋" w:cs="仿宋"/>
                <w:b/>
                <w:bCs/>
                <w:sz w:val="28"/>
                <w:szCs w:val="28"/>
                <w:u w:val="single"/>
                <w:vertAlign w:val="baseline"/>
                <w:lang w:val="en-US" w:eastAsia="zh-CN"/>
              </w:rPr>
            </w:pPr>
          </w:p>
        </w:tc>
      </w:tr>
      <w:tr w14:paraId="6D0F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tcPr>
          <w:p w14:paraId="5F546577">
            <w:pPr>
              <w:pStyle w:val="18"/>
              <w:numPr>
                <w:ilvl w:val="0"/>
                <w:numId w:val="0"/>
              </w:numPr>
              <w:spacing w:line="360" w:lineRule="auto"/>
              <w:jc w:val="both"/>
              <w:rPr>
                <w:rFonts w:hint="default" w:ascii="仿宋" w:hAnsi="仿宋" w:eastAsia="仿宋" w:cs="仿宋"/>
                <w:b/>
                <w:bCs/>
                <w:sz w:val="28"/>
                <w:szCs w:val="28"/>
                <w:u w:val="single"/>
                <w:vertAlign w:val="baseline"/>
                <w:lang w:val="en-US" w:eastAsia="zh-CN"/>
              </w:rPr>
            </w:pPr>
          </w:p>
        </w:tc>
        <w:tc>
          <w:tcPr>
            <w:tcW w:w="4011" w:type="dxa"/>
          </w:tcPr>
          <w:p w14:paraId="60041563">
            <w:pPr>
              <w:pStyle w:val="18"/>
              <w:numPr>
                <w:ilvl w:val="0"/>
                <w:numId w:val="0"/>
              </w:numPr>
              <w:spacing w:line="360" w:lineRule="auto"/>
              <w:jc w:val="both"/>
              <w:rPr>
                <w:rFonts w:hint="default" w:ascii="仿宋" w:hAnsi="仿宋" w:eastAsia="仿宋" w:cs="仿宋"/>
                <w:b/>
                <w:bCs/>
                <w:sz w:val="28"/>
                <w:szCs w:val="28"/>
                <w:u w:val="single"/>
                <w:vertAlign w:val="baseline"/>
                <w:lang w:val="en-US" w:eastAsia="zh-CN"/>
              </w:rPr>
            </w:pPr>
          </w:p>
        </w:tc>
        <w:tc>
          <w:tcPr>
            <w:tcW w:w="1566" w:type="dxa"/>
          </w:tcPr>
          <w:p w14:paraId="4E46C2CE">
            <w:pPr>
              <w:pStyle w:val="18"/>
              <w:numPr>
                <w:ilvl w:val="0"/>
                <w:numId w:val="0"/>
              </w:numPr>
              <w:spacing w:line="360" w:lineRule="auto"/>
              <w:jc w:val="both"/>
              <w:rPr>
                <w:rFonts w:hint="default" w:ascii="仿宋" w:hAnsi="仿宋" w:eastAsia="仿宋" w:cs="仿宋"/>
                <w:b/>
                <w:bCs/>
                <w:sz w:val="28"/>
                <w:szCs w:val="28"/>
                <w:u w:val="single"/>
                <w:vertAlign w:val="baseline"/>
                <w:lang w:val="en-US" w:eastAsia="zh-CN"/>
              </w:rPr>
            </w:pPr>
          </w:p>
        </w:tc>
        <w:tc>
          <w:tcPr>
            <w:tcW w:w="1528" w:type="dxa"/>
          </w:tcPr>
          <w:p w14:paraId="16FB4C6E">
            <w:pPr>
              <w:pStyle w:val="18"/>
              <w:numPr>
                <w:ilvl w:val="0"/>
                <w:numId w:val="0"/>
              </w:numPr>
              <w:spacing w:line="360" w:lineRule="auto"/>
              <w:jc w:val="both"/>
              <w:rPr>
                <w:rFonts w:hint="default" w:ascii="仿宋" w:hAnsi="仿宋" w:eastAsia="仿宋" w:cs="仿宋"/>
                <w:b/>
                <w:bCs/>
                <w:sz w:val="28"/>
                <w:szCs w:val="28"/>
                <w:u w:val="single"/>
                <w:vertAlign w:val="baseline"/>
                <w:lang w:val="en-US" w:eastAsia="zh-CN"/>
              </w:rPr>
            </w:pPr>
          </w:p>
        </w:tc>
      </w:tr>
    </w:tbl>
    <w:p w14:paraId="25A511FC">
      <w:pPr>
        <w:pStyle w:val="18"/>
        <w:numPr>
          <w:ilvl w:val="0"/>
          <w:numId w:val="0"/>
        </w:numPr>
        <w:spacing w:line="360" w:lineRule="auto"/>
        <w:ind w:leftChars="0"/>
        <w:rPr>
          <w:rFonts w:hint="default" w:ascii="仿宋" w:hAnsi="仿宋" w:eastAsia="仿宋" w:cs="仿宋"/>
          <w:b/>
          <w:bCs/>
          <w:sz w:val="28"/>
          <w:szCs w:val="28"/>
          <w:u w:val="single"/>
          <w:lang w:val="en-US" w:eastAsia="zh-CN"/>
        </w:rPr>
      </w:pPr>
    </w:p>
    <w:p w14:paraId="1325E4A6">
      <w:pPr>
        <w:pStyle w:val="18"/>
        <w:numPr>
          <w:ilvl w:val="0"/>
          <w:numId w:val="0"/>
        </w:numPr>
        <w:spacing w:line="360" w:lineRule="auto"/>
        <w:ind w:leftChars="0"/>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服务商全称（公章）：          法定代表人或被授权人（签字）：</w:t>
      </w:r>
    </w:p>
    <w:p w14:paraId="5572BE95">
      <w:pPr>
        <w:pStyle w:val="18"/>
        <w:numPr>
          <w:ilvl w:val="0"/>
          <w:numId w:val="0"/>
        </w:numPr>
        <w:spacing w:line="360" w:lineRule="auto"/>
        <w:ind w:leftChars="0"/>
        <w:rPr>
          <w:rFonts w:hint="eastAsia" w:ascii="仿宋" w:hAnsi="仿宋" w:eastAsia="仿宋" w:cs="仿宋"/>
          <w:b w:val="0"/>
          <w:bCs w:val="0"/>
          <w:sz w:val="28"/>
          <w:szCs w:val="28"/>
          <w:u w:val="none"/>
          <w:lang w:val="en-US" w:eastAsia="zh-CN"/>
        </w:rPr>
      </w:pPr>
    </w:p>
    <w:p w14:paraId="2351CA11">
      <w:pPr>
        <w:pStyle w:val="18"/>
        <w:numPr>
          <w:ilvl w:val="0"/>
          <w:numId w:val="0"/>
        </w:numPr>
        <w:spacing w:line="360" w:lineRule="auto"/>
        <w:ind w:leftChars="0"/>
        <w:rPr>
          <w:rFonts w:hint="eastAsia" w:ascii="仿宋" w:hAnsi="仿宋" w:eastAsia="仿宋" w:cs="仿宋"/>
          <w:b w:val="0"/>
          <w:bCs w:val="0"/>
          <w:sz w:val="28"/>
          <w:szCs w:val="28"/>
          <w:u w:val="none"/>
          <w:lang w:val="en-US" w:eastAsia="zh-CN"/>
        </w:rPr>
      </w:pPr>
    </w:p>
    <w:p w14:paraId="5D4DE815">
      <w:pPr>
        <w:pStyle w:val="18"/>
        <w:numPr>
          <w:ilvl w:val="0"/>
          <w:numId w:val="0"/>
        </w:numPr>
        <w:spacing w:line="360" w:lineRule="auto"/>
        <w:ind w:leftChars="0"/>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注：1.此标为表样，行数可自行添加，但表式不变。</w:t>
      </w:r>
    </w:p>
    <w:p w14:paraId="04CB9577">
      <w:pPr>
        <w:pStyle w:val="18"/>
        <w:numPr>
          <w:ilvl w:val="0"/>
          <w:numId w:val="0"/>
        </w:numPr>
        <w:spacing w:line="360" w:lineRule="auto"/>
        <w:ind w:left="560" w:leftChars="0"/>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2.服务商根据方案添加的产品、材料等也请列出。</w:t>
      </w:r>
    </w:p>
    <w:p w14:paraId="40B8D7AE">
      <w:pPr>
        <w:pStyle w:val="18"/>
        <w:numPr>
          <w:ilvl w:val="0"/>
          <w:numId w:val="0"/>
        </w:numPr>
        <w:spacing w:line="360" w:lineRule="auto"/>
        <w:ind w:left="560" w:leftChars="0"/>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3.请在“投标人技术商务规范条款描述”中列出所投产品的详细技术商务参数情况。</w:t>
      </w:r>
    </w:p>
    <w:p w14:paraId="68264151">
      <w:pPr>
        <w:pStyle w:val="18"/>
        <w:numPr>
          <w:ilvl w:val="0"/>
          <w:numId w:val="0"/>
        </w:numPr>
        <w:spacing w:line="360" w:lineRule="auto"/>
        <w:ind w:left="560" w:leftChars="0"/>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4.是否偏离用符号“+、=、-”分别表示正偏离、完全响应、负偏离，必须逐次对应响应。</w:t>
      </w:r>
    </w:p>
    <w:p w14:paraId="5544BADA">
      <w:pPr>
        <w:pStyle w:val="18"/>
        <w:numPr>
          <w:ilvl w:val="0"/>
          <w:numId w:val="0"/>
        </w:numPr>
        <w:spacing w:line="360" w:lineRule="auto"/>
        <w:ind w:left="560" w:leftChars="0"/>
        <w:rPr>
          <w:rFonts w:hint="eastAsia" w:ascii="仿宋" w:hAnsi="仿宋" w:eastAsia="仿宋" w:cs="仿宋"/>
          <w:b w:val="0"/>
          <w:bCs w:val="0"/>
          <w:sz w:val="28"/>
          <w:szCs w:val="28"/>
          <w:u w:val="none"/>
          <w:lang w:val="en-US" w:eastAsia="zh-CN"/>
        </w:rPr>
      </w:pPr>
    </w:p>
    <w:p w14:paraId="31C47A18">
      <w:pPr>
        <w:pStyle w:val="18"/>
        <w:numPr>
          <w:ilvl w:val="0"/>
          <w:numId w:val="0"/>
        </w:numPr>
        <w:spacing w:line="360" w:lineRule="auto"/>
        <w:ind w:left="560" w:leftChars="0"/>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w:t>
      </w:r>
      <w:r>
        <w:rPr>
          <w:rFonts w:hint="eastAsia" w:ascii="仿宋" w:hAnsi="仿宋" w:eastAsia="仿宋" w:cs="仿宋"/>
          <w:b w:val="0"/>
          <w:bCs w:val="0"/>
          <w:color w:val="2F5597" w:themeColor="accent5" w:themeShade="BF"/>
          <w:sz w:val="28"/>
          <w:szCs w:val="28"/>
          <w:u w:val="none"/>
          <w:lang w:val="en-US" w:eastAsia="zh-CN"/>
        </w:rPr>
        <w:t>需对所有技术参数偏离值作出偏离响应及时对有偏离的参数作出相应文字备注说明，功能性缺失较为严重的产品将视为无效产品，其设备产品将视为无效投标。</w:t>
      </w:r>
      <w:r>
        <w:rPr>
          <w:rFonts w:hint="eastAsia" w:ascii="仿宋" w:hAnsi="仿宋" w:eastAsia="仿宋" w:cs="仿宋"/>
          <w:b w:val="0"/>
          <w:bCs w:val="0"/>
          <w:sz w:val="28"/>
          <w:szCs w:val="28"/>
          <w:u w:val="none"/>
          <w:lang w:val="en-US" w:eastAsia="zh-CN"/>
        </w:rPr>
        <w:t>）</w:t>
      </w:r>
      <w:bookmarkStart w:id="0" w:name="_GoBack"/>
      <w:bookmarkEnd w:id="0"/>
    </w:p>
    <w:sectPr>
      <w:pgSz w:w="11906" w:h="16838"/>
      <w:pgMar w:top="1327" w:right="1519" w:bottom="127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82D022"/>
    <w:multiLevelType w:val="multilevel"/>
    <w:tmpl w:val="D282D022"/>
    <w:lvl w:ilvl="0" w:tentative="0">
      <w:start w:val="1"/>
      <w:numFmt w:val="chineseCounting"/>
      <w:lvlText w:val="%1、"/>
      <w:lvlJc w:val="left"/>
      <w:pPr>
        <w:ind w:left="432" w:hanging="432"/>
      </w:pPr>
      <w:rPr>
        <w:rFonts w:hint="eastAsia" w:ascii="宋体" w:hAnsi="宋体" w:eastAsia="宋体" w:cs="仿宋"/>
        <w:lang w:val="en-US"/>
      </w:rPr>
    </w:lvl>
    <w:lvl w:ilvl="1" w:tentative="0">
      <w:start w:val="1"/>
      <w:numFmt w:val="decimal"/>
      <w:isLgl/>
      <w:lvlText w:val="%1.%2."/>
      <w:lvlJc w:val="left"/>
      <w:pPr>
        <w:ind w:left="575" w:hanging="575"/>
      </w:pPr>
      <w:rPr>
        <w:rFonts w:hint="eastAsia" w:ascii="宋体" w:hAnsi="宋体" w:eastAsia="宋体" w:cs="仿宋"/>
      </w:rPr>
    </w:lvl>
    <w:lvl w:ilvl="2" w:tentative="0">
      <w:start w:val="1"/>
      <w:numFmt w:val="decimal"/>
      <w:pStyle w:val="4"/>
      <w:isLgl/>
      <w:lvlText w:val="%1.%2.%3."/>
      <w:lvlJc w:val="left"/>
      <w:pPr>
        <w:ind w:left="720" w:hanging="720"/>
      </w:pPr>
      <w:rPr>
        <w:rFonts w:hint="eastAsia" w:ascii="宋体" w:hAnsi="宋体" w:eastAsia="宋体" w:cs="仿宋"/>
      </w:rPr>
    </w:lvl>
    <w:lvl w:ilvl="3" w:tentative="0">
      <w:start w:val="1"/>
      <w:numFmt w:val="decimal"/>
      <w:pStyle w:val="5"/>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mOWQyNzdlYWU5M2YyNzczNmRlZjFkNDVjZWMxNGQifQ=="/>
  </w:docVars>
  <w:rsids>
    <w:rsidRoot w:val="1ACA360D"/>
    <w:rsid w:val="007717C2"/>
    <w:rsid w:val="01431A4A"/>
    <w:rsid w:val="028E4732"/>
    <w:rsid w:val="02C92423"/>
    <w:rsid w:val="03265180"/>
    <w:rsid w:val="035E700F"/>
    <w:rsid w:val="036D7252"/>
    <w:rsid w:val="03742054"/>
    <w:rsid w:val="04583A5F"/>
    <w:rsid w:val="04826D2E"/>
    <w:rsid w:val="0494259D"/>
    <w:rsid w:val="04BD7D66"/>
    <w:rsid w:val="04E70360"/>
    <w:rsid w:val="05340028"/>
    <w:rsid w:val="055D1B3F"/>
    <w:rsid w:val="05AF01F7"/>
    <w:rsid w:val="05BA6F95"/>
    <w:rsid w:val="05FD666C"/>
    <w:rsid w:val="06053772"/>
    <w:rsid w:val="061E5687"/>
    <w:rsid w:val="0728596A"/>
    <w:rsid w:val="076646E5"/>
    <w:rsid w:val="07FD356E"/>
    <w:rsid w:val="08055CAB"/>
    <w:rsid w:val="0853762E"/>
    <w:rsid w:val="091D2944"/>
    <w:rsid w:val="093915FC"/>
    <w:rsid w:val="094B74DC"/>
    <w:rsid w:val="09E8472B"/>
    <w:rsid w:val="0ADF718C"/>
    <w:rsid w:val="0AF81AF7"/>
    <w:rsid w:val="0BC53CE2"/>
    <w:rsid w:val="0D166265"/>
    <w:rsid w:val="0D3C0F87"/>
    <w:rsid w:val="0D5D3E94"/>
    <w:rsid w:val="0E4532A6"/>
    <w:rsid w:val="0E6A4ABA"/>
    <w:rsid w:val="0EE54565"/>
    <w:rsid w:val="0FED14FF"/>
    <w:rsid w:val="112260EC"/>
    <w:rsid w:val="11524677"/>
    <w:rsid w:val="126F08F1"/>
    <w:rsid w:val="13315BA7"/>
    <w:rsid w:val="13685340"/>
    <w:rsid w:val="139B5716"/>
    <w:rsid w:val="1525173B"/>
    <w:rsid w:val="152754B3"/>
    <w:rsid w:val="158900E3"/>
    <w:rsid w:val="15E62031"/>
    <w:rsid w:val="164F4B0E"/>
    <w:rsid w:val="17034941"/>
    <w:rsid w:val="172609C6"/>
    <w:rsid w:val="17CC7129"/>
    <w:rsid w:val="180A4C18"/>
    <w:rsid w:val="18C33745"/>
    <w:rsid w:val="19120228"/>
    <w:rsid w:val="19570467"/>
    <w:rsid w:val="1A3E5162"/>
    <w:rsid w:val="1A7D3DC7"/>
    <w:rsid w:val="1ACA360D"/>
    <w:rsid w:val="1ADC0AEE"/>
    <w:rsid w:val="1B1A7868"/>
    <w:rsid w:val="1BD96714"/>
    <w:rsid w:val="1C4049E1"/>
    <w:rsid w:val="1C890801"/>
    <w:rsid w:val="1CF77E61"/>
    <w:rsid w:val="1D2624F4"/>
    <w:rsid w:val="1D903E12"/>
    <w:rsid w:val="1EAF1A8F"/>
    <w:rsid w:val="1F004D2E"/>
    <w:rsid w:val="1F86727A"/>
    <w:rsid w:val="1FE53BC7"/>
    <w:rsid w:val="207E61A3"/>
    <w:rsid w:val="221072CF"/>
    <w:rsid w:val="22B20386"/>
    <w:rsid w:val="22C5630B"/>
    <w:rsid w:val="23733FB9"/>
    <w:rsid w:val="23955CDE"/>
    <w:rsid w:val="23B92805"/>
    <w:rsid w:val="244B45EE"/>
    <w:rsid w:val="24596D0B"/>
    <w:rsid w:val="251946ED"/>
    <w:rsid w:val="253F4091"/>
    <w:rsid w:val="25BA5ED0"/>
    <w:rsid w:val="275B0A3D"/>
    <w:rsid w:val="28602A2B"/>
    <w:rsid w:val="28BA1D43"/>
    <w:rsid w:val="28E13773"/>
    <w:rsid w:val="29244625"/>
    <w:rsid w:val="294A1318"/>
    <w:rsid w:val="2B1C6CE5"/>
    <w:rsid w:val="2BDF043E"/>
    <w:rsid w:val="2C525535"/>
    <w:rsid w:val="2ED50E10"/>
    <w:rsid w:val="2F683E67"/>
    <w:rsid w:val="302C533B"/>
    <w:rsid w:val="31CF5C1D"/>
    <w:rsid w:val="31E4154A"/>
    <w:rsid w:val="31F041C4"/>
    <w:rsid w:val="32543208"/>
    <w:rsid w:val="33B54E5D"/>
    <w:rsid w:val="33F22CD8"/>
    <w:rsid w:val="34A749EE"/>
    <w:rsid w:val="35A25C9B"/>
    <w:rsid w:val="35E5565D"/>
    <w:rsid w:val="361A4FED"/>
    <w:rsid w:val="36CE17DB"/>
    <w:rsid w:val="370D205E"/>
    <w:rsid w:val="37B4019C"/>
    <w:rsid w:val="37C453D8"/>
    <w:rsid w:val="37CA74F9"/>
    <w:rsid w:val="37CD3840"/>
    <w:rsid w:val="37F94635"/>
    <w:rsid w:val="383E473E"/>
    <w:rsid w:val="39405911"/>
    <w:rsid w:val="39605476"/>
    <w:rsid w:val="397C551E"/>
    <w:rsid w:val="397D1296"/>
    <w:rsid w:val="39BC3B6C"/>
    <w:rsid w:val="39D52E80"/>
    <w:rsid w:val="3A856654"/>
    <w:rsid w:val="3B2B5D12"/>
    <w:rsid w:val="3B5D4EDB"/>
    <w:rsid w:val="3B6440F6"/>
    <w:rsid w:val="3B702E61"/>
    <w:rsid w:val="3B914B85"/>
    <w:rsid w:val="3BE86E9B"/>
    <w:rsid w:val="3CCD6091"/>
    <w:rsid w:val="3D0D2931"/>
    <w:rsid w:val="3DF56C47"/>
    <w:rsid w:val="3E104487"/>
    <w:rsid w:val="3EA64DEB"/>
    <w:rsid w:val="3EE85404"/>
    <w:rsid w:val="3F0F7DFC"/>
    <w:rsid w:val="3F8213B4"/>
    <w:rsid w:val="3FCC5F7B"/>
    <w:rsid w:val="40552625"/>
    <w:rsid w:val="405D597D"/>
    <w:rsid w:val="4246496D"/>
    <w:rsid w:val="42902152"/>
    <w:rsid w:val="43413334"/>
    <w:rsid w:val="4464552C"/>
    <w:rsid w:val="44A1408B"/>
    <w:rsid w:val="44DF49AB"/>
    <w:rsid w:val="452B604A"/>
    <w:rsid w:val="461070BE"/>
    <w:rsid w:val="46160AA8"/>
    <w:rsid w:val="46787B82"/>
    <w:rsid w:val="474D04FA"/>
    <w:rsid w:val="47B02837"/>
    <w:rsid w:val="48CB5B7A"/>
    <w:rsid w:val="497418F4"/>
    <w:rsid w:val="49766784"/>
    <w:rsid w:val="49865F45"/>
    <w:rsid w:val="49A62143"/>
    <w:rsid w:val="4A203CA4"/>
    <w:rsid w:val="4ABA5EA6"/>
    <w:rsid w:val="4AC40AD3"/>
    <w:rsid w:val="4AD7381F"/>
    <w:rsid w:val="4B313C8F"/>
    <w:rsid w:val="4B9B38DE"/>
    <w:rsid w:val="4CF11927"/>
    <w:rsid w:val="4DCD4142"/>
    <w:rsid w:val="4DDA7F7C"/>
    <w:rsid w:val="4E712D20"/>
    <w:rsid w:val="4EEB31C1"/>
    <w:rsid w:val="4FCB5FB2"/>
    <w:rsid w:val="500B0F52"/>
    <w:rsid w:val="50C03AEB"/>
    <w:rsid w:val="516E1798"/>
    <w:rsid w:val="51A67184"/>
    <w:rsid w:val="522D51B0"/>
    <w:rsid w:val="528F202D"/>
    <w:rsid w:val="52A25112"/>
    <w:rsid w:val="52AD62F0"/>
    <w:rsid w:val="52E77071"/>
    <w:rsid w:val="53D004E8"/>
    <w:rsid w:val="53DF5DB6"/>
    <w:rsid w:val="54A61249"/>
    <w:rsid w:val="54F621D1"/>
    <w:rsid w:val="553C395C"/>
    <w:rsid w:val="55945546"/>
    <w:rsid w:val="55A75252"/>
    <w:rsid w:val="56C8194B"/>
    <w:rsid w:val="57911D3D"/>
    <w:rsid w:val="57FB18AC"/>
    <w:rsid w:val="586E02D0"/>
    <w:rsid w:val="594350C6"/>
    <w:rsid w:val="59527BF2"/>
    <w:rsid w:val="598853C1"/>
    <w:rsid w:val="5A4B6B1B"/>
    <w:rsid w:val="5ACC7530"/>
    <w:rsid w:val="5B242EC8"/>
    <w:rsid w:val="5B6D0D13"/>
    <w:rsid w:val="5C6774D0"/>
    <w:rsid w:val="5CF54B1C"/>
    <w:rsid w:val="5D3F223B"/>
    <w:rsid w:val="5D4E06D0"/>
    <w:rsid w:val="5DA447BC"/>
    <w:rsid w:val="5DEF58DB"/>
    <w:rsid w:val="5E316028"/>
    <w:rsid w:val="5EE4753E"/>
    <w:rsid w:val="5F155949"/>
    <w:rsid w:val="5F3D09FC"/>
    <w:rsid w:val="5FF4555F"/>
    <w:rsid w:val="5FFB4B3F"/>
    <w:rsid w:val="60B60A66"/>
    <w:rsid w:val="6179520E"/>
    <w:rsid w:val="618172C6"/>
    <w:rsid w:val="61C77F4D"/>
    <w:rsid w:val="61ED04B8"/>
    <w:rsid w:val="626764BC"/>
    <w:rsid w:val="630A2F55"/>
    <w:rsid w:val="636D5F98"/>
    <w:rsid w:val="63E1229E"/>
    <w:rsid w:val="645A5BAC"/>
    <w:rsid w:val="64D67BCE"/>
    <w:rsid w:val="64F8164D"/>
    <w:rsid w:val="651E4E2C"/>
    <w:rsid w:val="65551782"/>
    <w:rsid w:val="658729D1"/>
    <w:rsid w:val="65C14135"/>
    <w:rsid w:val="65CC59A3"/>
    <w:rsid w:val="65EA02AB"/>
    <w:rsid w:val="66027411"/>
    <w:rsid w:val="660A1BB4"/>
    <w:rsid w:val="66466D22"/>
    <w:rsid w:val="66E31E89"/>
    <w:rsid w:val="67044388"/>
    <w:rsid w:val="675E0EE9"/>
    <w:rsid w:val="679005C9"/>
    <w:rsid w:val="67F65BEC"/>
    <w:rsid w:val="689D3399"/>
    <w:rsid w:val="692D1AE1"/>
    <w:rsid w:val="694F1A58"/>
    <w:rsid w:val="69A26810"/>
    <w:rsid w:val="6A3B4264"/>
    <w:rsid w:val="6AA336F8"/>
    <w:rsid w:val="6AB159AD"/>
    <w:rsid w:val="6AE54422"/>
    <w:rsid w:val="6B5C220A"/>
    <w:rsid w:val="6BB65DBE"/>
    <w:rsid w:val="6C0B435C"/>
    <w:rsid w:val="6C4433CA"/>
    <w:rsid w:val="6C692E30"/>
    <w:rsid w:val="6DCA5B51"/>
    <w:rsid w:val="6E3B6E6A"/>
    <w:rsid w:val="6EB32A89"/>
    <w:rsid w:val="6EC627BC"/>
    <w:rsid w:val="6EC66318"/>
    <w:rsid w:val="6FEA24DA"/>
    <w:rsid w:val="7000462A"/>
    <w:rsid w:val="718A7AD1"/>
    <w:rsid w:val="71CE58C0"/>
    <w:rsid w:val="721C2EA3"/>
    <w:rsid w:val="72431B05"/>
    <w:rsid w:val="7386251A"/>
    <w:rsid w:val="738844E4"/>
    <w:rsid w:val="73A3131E"/>
    <w:rsid w:val="73FC458A"/>
    <w:rsid w:val="740C62FA"/>
    <w:rsid w:val="74566390"/>
    <w:rsid w:val="74D5034D"/>
    <w:rsid w:val="758938E4"/>
    <w:rsid w:val="75E1612D"/>
    <w:rsid w:val="77B80B76"/>
    <w:rsid w:val="77FC0FFD"/>
    <w:rsid w:val="783224F8"/>
    <w:rsid w:val="78B74F24"/>
    <w:rsid w:val="7AB1710D"/>
    <w:rsid w:val="7AB827A3"/>
    <w:rsid w:val="7AD1051F"/>
    <w:rsid w:val="7BAC2D3A"/>
    <w:rsid w:val="7BC65BA9"/>
    <w:rsid w:val="7C5238E1"/>
    <w:rsid w:val="7CEF7382"/>
    <w:rsid w:val="7D0F71C0"/>
    <w:rsid w:val="7D6C09D3"/>
    <w:rsid w:val="7DA261A2"/>
    <w:rsid w:val="7E09286B"/>
    <w:rsid w:val="7F1430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numPr>
        <w:ilvl w:val="2"/>
        <w:numId w:val="1"/>
      </w:numPr>
      <w:spacing w:before="156" w:after="156"/>
      <w:outlineLvl w:val="2"/>
    </w:pPr>
    <w:rPr>
      <w:rFonts w:ascii="Times New Roman" w:hAnsi="Times New Roman" w:cs="Times New Roman"/>
      <w:b/>
      <w:sz w:val="28"/>
      <w:szCs w:val="20"/>
    </w:rPr>
  </w:style>
  <w:style w:type="paragraph" w:styleId="5">
    <w:name w:val="heading 4"/>
    <w:basedOn w:val="1"/>
    <w:next w:val="1"/>
    <w:autoRedefine/>
    <w:qFormat/>
    <w:uiPriority w:val="0"/>
    <w:pPr>
      <w:keepNext/>
      <w:keepLines/>
      <w:numPr>
        <w:ilvl w:val="3"/>
        <w:numId w:val="1"/>
      </w:numPr>
      <w:spacing w:before="156" w:after="156"/>
      <w:outlineLvl w:val="3"/>
    </w:pPr>
    <w:rPr>
      <w:rFonts w:ascii="Times New Roman" w:hAnsi="Times New Roman" w:cs="Times New Roman"/>
      <w:b/>
      <w:sz w:val="28"/>
      <w:szCs w:val="20"/>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6">
    <w:name w:val="Body Text"/>
    <w:basedOn w:val="1"/>
    <w:autoRedefine/>
    <w:qFormat/>
    <w:uiPriority w:val="0"/>
    <w:pPr>
      <w:widowControl/>
      <w:jc w:val="left"/>
    </w:pPr>
    <w:rPr>
      <w:rFonts w:ascii="Times New Roman" w:hAnsi="Times New Roman" w:eastAsia="宋体" w:cs="Times New Roman"/>
      <w:kern w:val="0"/>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oc 6"/>
    <w:next w:val="1"/>
    <w:autoRedefine/>
    <w:qFormat/>
    <w:uiPriority w:val="0"/>
    <w:pPr>
      <w:widowControl w:val="0"/>
      <w:spacing w:line="360" w:lineRule="auto"/>
      <w:ind w:left="1050" w:firstLine="964" w:firstLineChars="200"/>
    </w:pPr>
    <w:rPr>
      <w:rFonts w:ascii="仿宋_GB2312" w:hAnsi="宋体" w:eastAsia="仿宋_GB2312" w:cs="宋体"/>
      <w:kern w:val="2"/>
      <w:sz w:val="18"/>
      <w:szCs w:val="18"/>
      <w:lang w:val="en-US" w:eastAsia="zh-CN" w:bidi="ar-SA"/>
    </w:rPr>
  </w:style>
  <w:style w:type="paragraph" w:styleId="9">
    <w:name w:val="toc 2"/>
    <w:basedOn w:val="1"/>
    <w:next w:val="1"/>
    <w:autoRedefine/>
    <w:qFormat/>
    <w:uiPriority w:val="0"/>
    <w:pPr>
      <w:widowControl/>
      <w:spacing w:after="100" w:line="276" w:lineRule="auto"/>
      <w:ind w:left="220"/>
      <w:jc w:val="left"/>
    </w:pPr>
    <w:rPr>
      <w:rFonts w:ascii="Times New Roman" w:hAnsi="Times New Roman" w:eastAsia="宋体" w:cs="Times New Roman"/>
      <w:kern w:val="0"/>
      <w:sz w:val="22"/>
    </w:rPr>
  </w:style>
  <w:style w:type="paragraph" w:styleId="10">
    <w:name w:val="Normal (Web)"/>
    <w:basedOn w:val="1"/>
    <w:autoRedefine/>
    <w:qFormat/>
    <w:uiPriority w:val="0"/>
    <w:rPr>
      <w:sz w:val="24"/>
    </w:rPr>
  </w:style>
  <w:style w:type="paragraph" w:styleId="11">
    <w:name w:val="Body Text First Indent"/>
    <w:basedOn w:val="6"/>
    <w:next w:val="8"/>
    <w:autoRedefine/>
    <w:unhideWhenUsed/>
    <w:qFormat/>
    <w:uiPriority w:val="99"/>
    <w:pPr>
      <w:ind w:firstLine="420" w:firstLineChars="1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font51"/>
    <w:basedOn w:val="14"/>
    <w:autoRedefine/>
    <w:qFormat/>
    <w:uiPriority w:val="0"/>
    <w:rPr>
      <w:rFonts w:hint="default" w:ascii="Times New Roman" w:hAnsi="Times New Roman" w:cs="Times New Roman"/>
      <w:color w:val="000000"/>
      <w:sz w:val="20"/>
      <w:szCs w:val="20"/>
      <w:u w:val="none"/>
    </w:rPr>
  </w:style>
  <w:style w:type="paragraph" w:customStyle="1" w:styleId="16">
    <w:name w:val="p0"/>
    <w:basedOn w:val="1"/>
    <w:autoRedefine/>
    <w:qFormat/>
    <w:uiPriority w:val="0"/>
    <w:rPr>
      <w:rFonts w:ascii="Times New Roman" w:hAnsi="Times New Roman" w:eastAsia="宋体" w:cs="Times New Roman"/>
      <w:szCs w:val="21"/>
    </w:rPr>
  </w:style>
  <w:style w:type="paragraph" w:customStyle="1" w:styleId="17">
    <w:name w:val="p16"/>
    <w:basedOn w:val="1"/>
    <w:autoRedefine/>
    <w:qFormat/>
    <w:uiPriority w:val="0"/>
    <w:rPr>
      <w:rFonts w:ascii="Times New Roman" w:hAnsi="Times New Roman" w:eastAsia="宋体" w:cs="Times New Roman"/>
      <w:szCs w:val="21"/>
    </w:rPr>
  </w:style>
  <w:style w:type="paragraph" w:customStyle="1" w:styleId="18">
    <w:name w:val="List Paragraph"/>
    <w:basedOn w:val="1"/>
    <w:autoRedefine/>
    <w:qFormat/>
    <w:uiPriority w:val="34"/>
    <w:pPr>
      <w:ind w:firstLine="420" w:firstLineChars="200"/>
    </w:pPr>
    <w:rPr>
      <w:rFonts w:ascii="Times New Roman" w:hAnsi="Times New Roman" w:eastAsia="宋体" w:cs="Times New Roman"/>
      <w:szCs w:val="24"/>
    </w:rPr>
  </w:style>
  <w:style w:type="paragraph" w:customStyle="1" w:styleId="19">
    <w:name w:val="Table Paragraph"/>
    <w:basedOn w:val="1"/>
    <w:autoRedefine/>
    <w:qFormat/>
    <w:uiPriority w:val="1"/>
    <w:pPr>
      <w:autoSpaceDE w:val="0"/>
      <w:autoSpaceDN w:val="0"/>
      <w:spacing w:line="284" w:lineRule="exact"/>
      <w:ind w:left="107"/>
      <w:jc w:val="left"/>
    </w:pPr>
    <w:rPr>
      <w:rFonts w:ascii="宋体" w:hAnsi="宋体" w:eastAsia="宋体" w:cs="宋体"/>
      <w:kern w:val="0"/>
      <w:sz w:val="22"/>
    </w:rPr>
  </w:style>
  <w:style w:type="table" w:customStyle="1" w:styleId="20">
    <w:name w:val="Table Normal"/>
    <w:autoRedefine/>
    <w:unhideWhenUsed/>
    <w:qFormat/>
    <w:uiPriority w:val="2"/>
    <w:pPr>
      <w:widowControl w:val="0"/>
      <w:autoSpaceDE w:val="0"/>
      <w:autoSpaceDN w:val="0"/>
    </w:pPr>
    <w:rPr>
      <w:rFonts w:eastAsiaTheme="minorEastAsia"/>
      <w:sz w:val="22"/>
      <w:szCs w:val="22"/>
      <w:lang w:eastAsia="en-US"/>
    </w:rPr>
    <w:tblPr>
      <w:tblCellMar>
        <w:top w:w="0" w:type="dxa"/>
        <w:left w:w="0" w:type="dxa"/>
        <w:bottom w:w="0" w:type="dxa"/>
        <w:right w:w="0" w:type="dxa"/>
      </w:tblCellMar>
    </w:tblPr>
  </w:style>
  <w:style w:type="paragraph" w:customStyle="1" w:styleId="21">
    <w:name w:val="段"/>
    <w:basedOn w:val="1"/>
    <w:autoRedefine/>
    <w:qFormat/>
    <w:uiPriority w:val="0"/>
    <w:pPr>
      <w:tabs>
        <w:tab w:val="center" w:pos="4201"/>
        <w:tab w:val="right" w:leader="dot" w:pos="9298"/>
      </w:tabs>
      <w:autoSpaceDE w:val="0"/>
      <w:autoSpaceDN w:val="0"/>
      <w:spacing w:beforeLines="0" w:afterLines="0"/>
      <w:ind w:firstLine="420" w:firstLineChars="200"/>
    </w:pPr>
    <w:rPr>
      <w:rFonts w:hint="eastAsia" w:ascii="宋体" w:hAnsi="Times New Roman" w:eastAsia="宋体" w:cs="Times New Roman"/>
      <w:kern w:val="0"/>
      <w:sz w:val="21"/>
    </w:rPr>
  </w:style>
  <w:style w:type="character" w:customStyle="1" w:styleId="22">
    <w:name w:val="font01"/>
    <w:basedOn w:val="14"/>
    <w:autoRedefine/>
    <w:qFormat/>
    <w:uiPriority w:val="0"/>
    <w:rPr>
      <w:rFonts w:hint="eastAsia" w:ascii="宋体" w:hAnsi="宋体" w:eastAsia="宋体" w:cs="宋体"/>
      <w:color w:val="000000"/>
      <w:sz w:val="22"/>
      <w:szCs w:val="22"/>
      <w:u w:val="none"/>
    </w:rPr>
  </w:style>
  <w:style w:type="character" w:customStyle="1" w:styleId="23">
    <w:name w:val="font61"/>
    <w:basedOn w:val="14"/>
    <w:autoRedefine/>
    <w:qFormat/>
    <w:uiPriority w:val="0"/>
    <w:rPr>
      <w:rFonts w:hint="eastAsia" w:ascii="宋体" w:hAnsi="宋体" w:eastAsia="宋体" w:cs="宋体"/>
      <w:color w:val="000000"/>
      <w:sz w:val="20"/>
      <w:szCs w:val="20"/>
      <w:u w:val="none"/>
    </w:rPr>
  </w:style>
  <w:style w:type="paragraph" w:customStyle="1" w:styleId="24">
    <w:name w:val="列表段落1"/>
    <w:basedOn w:val="1"/>
    <w:autoRedefine/>
    <w:qFormat/>
    <w:uiPriority w:val="34"/>
    <w:pPr>
      <w:ind w:firstLine="420" w:firstLineChars="200"/>
    </w:pPr>
  </w:style>
  <w:style w:type="paragraph" w:customStyle="1" w:styleId="25">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6">
    <w:name w:val="NormalCharacter"/>
    <w:link w:val="1"/>
    <w:autoRedefine/>
    <w:semiHidden/>
    <w:qFormat/>
    <w:uiPriority w:val="0"/>
    <w:rPr>
      <w:rFonts w:ascii="Times New Roman" w:hAnsi="Times New Roman" w:eastAsia="宋体" w:cs="Times New Roman"/>
      <w:kern w:val="2"/>
      <w:sz w:val="21"/>
      <w:szCs w:val="24"/>
      <w:lang w:val="en-US" w:eastAsia="zh-CN" w:bidi="ar-SA"/>
    </w:rPr>
  </w:style>
  <w:style w:type="character" w:customStyle="1" w:styleId="27">
    <w:name w:val="标题 1 Char1"/>
    <w:autoRedefine/>
    <w:qFormat/>
    <w:uiPriority w:val="0"/>
    <w:rPr>
      <w:rFonts w:ascii="Times New Roman" w:hAnsi="Times New Roman" w:eastAsia="宋体" w:cs="Times New Roman"/>
      <w:b/>
      <w:bCs/>
      <w:kern w:val="44"/>
      <w:sz w:val="32"/>
      <w:szCs w:val="44"/>
    </w:rPr>
  </w:style>
  <w:style w:type="table" w:customStyle="1" w:styleId="28">
    <w:name w:val="表"/>
    <w:basedOn w:val="12"/>
    <w:autoRedefine/>
    <w:qFormat/>
    <w:uiPriority w:val="39"/>
    <w:pPr>
      <w:contextualSpacing/>
    </w:pPr>
    <w:rPr>
      <w:rFonts w:asciiTheme="minorHAnsi" w:hAnsiTheme="minorHAnsi" w:eastAsiaTheme="minorEastAsia" w:cstheme="minorBidi"/>
      <w:sz w:val="24"/>
    </w:rPr>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style>
  <w:style w:type="paragraph" w:customStyle="1" w:styleId="29">
    <w:name w:val="04-正文"/>
    <w:basedOn w:val="1"/>
    <w:autoRedefine/>
    <w:qFormat/>
    <w:uiPriority w:val="0"/>
    <w:pPr>
      <w:widowControl w:val="0"/>
      <w:ind w:firstLine="482" w:firstLineChars="0"/>
      <w:jc w:val="both"/>
    </w:pPr>
    <w:rPr>
      <w:rFonts w:cstheme="minorBidi"/>
      <w:szCs w:val="22"/>
    </w:rPr>
  </w:style>
  <w:style w:type="paragraph" w:customStyle="1" w:styleId="30">
    <w:name w:val="正文1"/>
    <w:autoRedefine/>
    <w:qFormat/>
    <w:uiPriority w:val="0"/>
    <w:pPr>
      <w:spacing w:line="360" w:lineRule="auto"/>
      <w:ind w:firstLine="200" w:firstLineChars="200"/>
    </w:pPr>
    <w:rPr>
      <w:rFonts w:ascii="宋体" w:hAnsi="宋体" w:eastAsia="宋体" w:cs="宋体"/>
      <w:kern w:val="2"/>
      <w:sz w:val="24"/>
      <w:szCs w:val="24"/>
      <w:lang w:val="en-US" w:eastAsia="zh-CN" w:bidi="ar-SA"/>
    </w:rPr>
  </w:style>
  <w:style w:type="character" w:customStyle="1" w:styleId="31">
    <w:name w:val="font11"/>
    <w:basedOn w:val="14"/>
    <w:autoRedefine/>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1613</Words>
  <Characters>1816</Characters>
  <Lines>0</Lines>
  <Paragraphs>0</Paragraphs>
  <TotalTime>38</TotalTime>
  <ScaleCrop>false</ScaleCrop>
  <LinksUpToDate>false</LinksUpToDate>
  <CharactersWithSpaces>1962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2022-08-30T03:12:00Z</dcterms:created>
  <dc:creator>Lenovo</dc:creator>
  <cp:lastModifiedBy>茉晴</cp:lastModifiedBy>
  <cp:lastPrinted>2024-08-22T01:25:00Z</cp:lastPrinted>
  <dcterms:modified xsi:type="dcterms:W3CDTF">2024-11-28T02:40:14Z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15BBFFC0ADFD45AF917609C2B6F6DC61_13</vt:lpwstr>
  </property>
</Properties>
</file>