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9269">
      <w:pPr>
        <w:widowControl/>
        <w:shd w:val="clear" w:color="auto" w:fill="FFFFFF"/>
        <w:spacing w:line="520" w:lineRule="atLeast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03478CFF">
      <w:pPr>
        <w:widowControl/>
        <w:shd w:val="clear" w:color="auto" w:fill="FFFFFF"/>
        <w:spacing w:line="520" w:lineRule="atLeast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保亭县人民医院办公文具采购清单报价表</w:t>
      </w:r>
    </w:p>
    <w:p w14:paraId="1CAA2D2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tbl>
      <w:tblPr>
        <w:tblStyle w:val="4"/>
        <w:tblW w:w="91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050"/>
        <w:gridCol w:w="1433"/>
        <w:gridCol w:w="2183"/>
        <w:gridCol w:w="784"/>
        <w:gridCol w:w="1933"/>
      </w:tblGrid>
      <w:tr w14:paraId="5F88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4DB4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1号电池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超霸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无汞13G/1.5伏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924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3号电池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超霸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无汞14G/1.5伏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A5E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7号南孚电池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LR03/1.5伏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D6E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5号南孚电池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LR6/1.5伏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A1C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6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主板电池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超霸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4D8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金装天球电池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天球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1.5伏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FBA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23A电池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超霸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无汞12伏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D4A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9v电池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超霸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无汞9伏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416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A5书写板夹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启瀚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B95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3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A4书写板夹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启瀚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91E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病历夹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启瀚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24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文件夹 双弹力夹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CF1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启瀚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590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启瀚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BD9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彩色长尾夹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12只/筒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E14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彩色长尾夹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24只/筒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A79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彩色长尾夹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48只/筒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D38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彩色长尾夹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60只/筒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844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红水性笔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宝克880F/0.5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9C9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奥德美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0.5子弹头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FA0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奥德美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宝克880F/0.5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9C9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天卓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0.5子弹头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BF8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小双头记号笔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天卓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水性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小双头记号笔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油性英雄887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B3E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0.7子弹头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A6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中性台笔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0.5子弹头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724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中华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HB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B4A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黑、红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924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办公用签字笔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12支/盒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EDD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转笔刀 (铅笔刨)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C40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天卓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39E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四层笔筒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得力906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4FF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63A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4B3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0AC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拉链袋得力5526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椰星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A7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网格文件袋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椰星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52F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亿兴华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A级牛皮纸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44E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得力5683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32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修正液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椰星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椰星6001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598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透明胶小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2*8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050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透明胶大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50*1100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5C9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液体胶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DDC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A63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惠普生235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8E3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重型订书机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惠普生231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78D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惠普生12#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1CA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椰星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惠普生3#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128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厚层订书钉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HP-8813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2BA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剪刀得力0603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得力0603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982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金属四联文件框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得力9304E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E21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四联文件筐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得力9848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6A2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A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金属文件筐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得力79075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F06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9863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1F1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9864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CC3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663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语音计算器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锐奇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锐奇6670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183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乳胶圈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乳胶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30g/包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BF0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日记本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椰星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1x42页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09C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6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先锋8109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1FA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7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5DB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先锋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76x76mm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576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证件卡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争辉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5个/包 85x54mm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34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6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9A79"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报价金额总合计:  （大写）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元整   </w:t>
            </w:r>
          </w:p>
          <w:p w14:paraId="33FA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EB54AC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品牌和型号的确定是为产品报价的精准性，可不作为最终的实际产品采购</w:t>
      </w:r>
      <w:r>
        <w:rPr>
          <w:rFonts w:hint="eastAsia"/>
          <w:lang w:eastAsia="zh-CN"/>
        </w:rPr>
        <w:t>）</w:t>
      </w:r>
    </w:p>
    <w:p w14:paraId="6A16F56D">
      <w:pPr>
        <w:pStyle w:val="3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以上63种项目（含税）报价</w:t>
      </w:r>
    </w:p>
    <w:p w14:paraId="7ED712D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报价单位：</w:t>
      </w:r>
      <w:r>
        <w:rPr>
          <w:rFonts w:hint="eastAsia" w:ascii="宋体" w:cs="宋体"/>
          <w:b w:val="0"/>
          <w:bCs w:val="0"/>
          <w:sz w:val="28"/>
          <w:szCs w:val="28"/>
          <w:lang w:val="en-US" w:eastAsia="zh-CN"/>
        </w:rPr>
        <w:t>（盖章）</w:t>
      </w:r>
    </w:p>
    <w:p w14:paraId="3AB020E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</w:p>
    <w:p w14:paraId="3DAA33A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身份证：</w:t>
      </w:r>
    </w:p>
    <w:p w14:paraId="50670C2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</w:p>
    <w:p w14:paraId="7893E2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4F7A8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项目的内容及要求</w:t>
      </w:r>
    </w:p>
    <w:p w14:paraId="310DD3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一、内容</w:t>
      </w:r>
    </w:p>
    <w:p w14:paraId="315EC4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办公文具用品</w:t>
      </w:r>
    </w:p>
    <w:p w14:paraId="7F311F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二、要求</w:t>
      </w:r>
    </w:p>
    <w:p w14:paraId="71BEF1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1、服务要求</w:t>
      </w:r>
    </w:p>
    <w:p w14:paraId="3CB8D0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（1）办公用品服务商在接到医院采购或备货通知后应及时安排备货送货，提供8小时工作制免费送货服务。</w:t>
      </w:r>
    </w:p>
    <w:p w14:paraId="01233B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（2）对于需紧急供货要求的，需在规定的时限内（1小时内）提供送货服务。</w:t>
      </w:r>
    </w:p>
    <w:p w14:paraId="110E45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（3）不在采购清单内的办公用品采购价格不得高于同期市场价格。</w:t>
      </w:r>
    </w:p>
    <w:p w14:paraId="642E89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（4）供应商应当严格如实填写每次供货单，详细列明各项费用，于每月月底前报送我院行政办。</w:t>
      </w:r>
    </w:p>
    <w:p w14:paraId="5CF64D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2、质量要求</w:t>
      </w:r>
    </w:p>
    <w:p w14:paraId="1EFDE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（1）货物（零配件）质量保证必须是全新的、未使用过的正品，并完全符合国家质量标准。提供的货物实行质量保证期制度，必须确保质保期内的产品无质量问题。不同批次的产品应确保质量的稳定性。</w:t>
      </w:r>
    </w:p>
    <w:p w14:paraId="54E381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（2）办公用品应明确一定时效的质量保证期。</w:t>
      </w:r>
    </w:p>
    <w:p w14:paraId="2D2B05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（3）在质量保证期内，货物质量原因造成无法正常使用，供应商需承担调换货物的义务和责任，不得故意拖延或者无理拒绝。</w:t>
      </w:r>
    </w:p>
    <w:p w14:paraId="1831C39F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（4）如遇特殊情况（非双方人为因素）造成产品质量问题导致无法正常使用，双方可协商处理。</w:t>
      </w:r>
    </w:p>
    <w:p w14:paraId="40F882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3、价格要求</w:t>
      </w:r>
    </w:p>
    <w:p w14:paraId="591A19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货物（零配件）的价格应稳定，一年内的价格不能上调浮动。因客观原因造成个别产品（数量不得超过总数量的5%）采购价格需要调整，应提交货物价格变更说明，并得到采购人的同意，方能变更报价。同季度内或同批次的货物价格不得变动。</w:t>
      </w:r>
    </w:p>
    <w:p w14:paraId="216C4A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（2）未在采购清单内的产品，供应商需提供合理报价，不得高于市场价供货。</w:t>
      </w:r>
    </w:p>
    <w:p w14:paraId="5ED3DC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4、结算方式</w:t>
      </w:r>
    </w:p>
    <w:p w14:paraId="6BF646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货物费用在本次报价清单范围内的，则按照报价清单内产品单价进行结算。若采购产品不在本次报价清单范围内的，供应商应提供产品单价，超出清单范围的产品单价不得高于市场价，或在同等产品报价范围内进行结算，最终以双方认可的费用进行据实结算（注：所有办公用品报价均为含税报价，超出清单范围的货物报价也应为含税价格）。</w:t>
      </w:r>
    </w:p>
    <w:p w14:paraId="095537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（2）结算方式可采用按月或按季度进行定期结算。</w:t>
      </w:r>
    </w:p>
    <w:p w14:paraId="23DBF1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（3）结算时需提供全额正规增值税发票。</w:t>
      </w:r>
    </w:p>
    <w:p w14:paraId="4923D6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5、其他要求</w:t>
      </w:r>
    </w:p>
    <w:p w14:paraId="3E725D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（1）必须提供我院指定品牌原厂正品的产品，不得使用假冒、副厂、小厂等劣质产品。</w:t>
      </w:r>
    </w:p>
    <w:p w14:paraId="766305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（2）如有发现在履约期间不履行合同约定、私自抬高价格、以次充好等情况，第一次给与口头警告，第二次给与书面警告，若发现出现以上错误超过3次，将暂停结算，并视相关情况有权单方面终止采购合同。</w:t>
      </w:r>
    </w:p>
    <w:p w14:paraId="4BD8C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（5）服务期内，出现重大伪劣产品，我院有权终止合同，并将视情况严重与否，保留将此事件移交市监、工商、公安等部门。</w:t>
      </w:r>
      <w:bookmarkStart w:id="0" w:name="_GoBack"/>
      <w:bookmarkEnd w:id="0"/>
    </w:p>
    <w:sectPr>
      <w:pgSz w:w="11906" w:h="16838"/>
      <w:pgMar w:top="1440" w:right="1576" w:bottom="127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1660F5C"/>
    <w:rsid w:val="416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tabs>
        <w:tab w:val="left" w:pos="900"/>
      </w:tabs>
      <w:spacing w:before="260" w:after="260" w:line="360" w:lineRule="auto"/>
      <w:jc w:val="both"/>
      <w:outlineLvl w:val="2"/>
    </w:pPr>
    <w:rPr>
      <w:rFonts w:hAnsi="宋体"/>
      <w:b/>
      <w:bCs/>
      <w:kern w:val="2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2024-07-15T06:51:00Z</dcterms:created>
  <dc:creator>谷子</dc:creator>
  <cp:lastModifiedBy>谷子</cp:lastModifiedBy>
  <dcterms:modified xsi:type="dcterms:W3CDTF">2024-07-15T07:01:17Z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49F375197E844A97ADA5D688295322D0_11</vt:lpwstr>
  </property>
</Properties>
</file>