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附件</w:t>
      </w: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综合比选（资料）要求</w:t>
      </w:r>
    </w:p>
    <w:p>
      <w:pPr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  <w:lang w:val="en-US" w:eastAsia="zh-CN"/>
        </w:rPr>
        <w:t>一、提供团队人员配备情况材料</w:t>
      </w:r>
      <w:r>
        <w:rPr>
          <w:rFonts w:hint="eastAsia" w:ascii="仿宋" w:hAnsi="仿宋" w:eastAsia="仿宋" w:cs="仿宋"/>
          <w:b w:val="0"/>
          <w:bCs w:val="0"/>
          <w:sz w:val="24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</w:rPr>
        <w:t>人员配备</w:t>
      </w:r>
      <w:r>
        <w:rPr>
          <w:rFonts w:hint="eastAsia" w:ascii="仿宋" w:hAnsi="仿宋" w:eastAsia="仿宋" w:cs="仿宋"/>
          <w:sz w:val="28"/>
          <w:szCs w:val="32"/>
        </w:rPr>
        <w:tab/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1、招标代理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机构代理业务人员</w:t>
      </w:r>
      <w:r>
        <w:rPr>
          <w:rFonts w:hint="eastAsia" w:ascii="仿宋" w:hAnsi="仿宋" w:eastAsia="仿宋" w:cs="仿宋"/>
          <w:sz w:val="28"/>
          <w:szCs w:val="32"/>
        </w:rPr>
        <w:t>人数。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2、配备有工程类专业二级建造师执业资格（含以上）、中级工程师（含以上）等专业技术人员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需提供</w:t>
      </w:r>
      <w:r>
        <w:rPr>
          <w:rFonts w:hint="eastAsia" w:ascii="仿宋" w:hAnsi="仿宋" w:eastAsia="仿宋" w:cs="仿宋"/>
          <w:sz w:val="28"/>
          <w:szCs w:val="32"/>
        </w:rPr>
        <w:t>员工缴纳社保等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相关证明材料，提供</w:t>
      </w:r>
      <w:r>
        <w:rPr>
          <w:rFonts w:hint="eastAsia" w:ascii="仿宋" w:hAnsi="仿宋" w:eastAsia="仿宋" w:cs="仿宋"/>
          <w:sz w:val="28"/>
          <w:szCs w:val="32"/>
        </w:rPr>
        <w:t>招标行业资格从业证书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及专业资格证书，非工程类的采购项目招标代理不需对工程专业人员进行考核。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二、提供</w:t>
      </w:r>
      <w:r>
        <w:rPr>
          <w:rFonts w:hint="eastAsia" w:ascii="黑体" w:hAnsi="黑体" w:eastAsia="黑体" w:cs="黑体"/>
          <w:sz w:val="28"/>
          <w:szCs w:val="32"/>
        </w:rPr>
        <w:t>运营管理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业绩情况材料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</w:rPr>
        <w:t>业绩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供应商2022年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2"/>
        </w:rPr>
        <w:t>月1日至今（以合同签订时间为准）承担过卫生医疗单位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工程施工建设类</w:t>
      </w:r>
      <w:r>
        <w:rPr>
          <w:rFonts w:hint="eastAsia" w:ascii="仿宋" w:hAnsi="仿宋" w:eastAsia="仿宋" w:cs="仿宋"/>
          <w:sz w:val="28"/>
          <w:szCs w:val="32"/>
        </w:rPr>
        <w:t>项目业绩的情况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以及提供类似本次采购项目的代理业绩情况。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</w:rPr>
        <w:t>提供合同复印件或中标通知书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32"/>
        </w:rPr>
        <w:t>证明材料，未提供相关业绩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证明材料无效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28"/>
        </w:rPr>
      </w:pPr>
    </w:p>
    <w:p>
      <w:pPr>
        <w:rPr>
          <w:rFonts w:hint="default" w:ascii="仿宋" w:hAnsi="仿宋" w:eastAsia="仿宋" w:cs="仿宋"/>
          <w:sz w:val="28"/>
          <w:szCs w:val="32"/>
          <w:lang w:val="en-US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三、提供</w:t>
      </w:r>
      <w:r>
        <w:rPr>
          <w:rFonts w:hint="eastAsia" w:ascii="黑体" w:hAnsi="黑体" w:eastAsia="黑体" w:cs="黑体"/>
          <w:sz w:val="28"/>
          <w:szCs w:val="32"/>
        </w:rPr>
        <w:t>公共信用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奖惩与诚信情况材料</w:t>
      </w: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</w:rPr>
        <w:t>奖励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与惩治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考核招标代理机构的招标代理业务近三年获得来自工商、税务、财政、住建、发改委等政府部门以及银行、协会等机构的奖励情况：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列出</w:t>
      </w:r>
      <w:r>
        <w:rPr>
          <w:rFonts w:hint="eastAsia" w:ascii="仿宋" w:hAnsi="仿宋" w:eastAsia="仿宋" w:cs="仿宋"/>
          <w:sz w:val="28"/>
          <w:szCs w:val="32"/>
        </w:rPr>
        <w:t>国家级奖项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2"/>
        </w:rPr>
        <w:t>省级奖项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2"/>
        </w:rPr>
        <w:t>地市级奖项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2"/>
        </w:rPr>
        <w:t>县级奖项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等证明材料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</w:rPr>
        <w:t>失信记录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考核招标代理机构的招标代理业务近三年是否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发生违规操作情况、存在失信行为的，</w:t>
      </w:r>
      <w:r>
        <w:rPr>
          <w:rFonts w:hint="eastAsia" w:ascii="仿宋" w:hAnsi="仿宋" w:eastAsia="仿宋" w:cs="仿宋"/>
          <w:sz w:val="28"/>
          <w:szCs w:val="32"/>
        </w:rPr>
        <w:t>处于司法和行政执法机构“失信被执行人名单”中且未采取补救措施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的情况</w:t>
      </w:r>
      <w:r>
        <w:rPr>
          <w:rFonts w:hint="eastAsia" w:ascii="仿宋" w:hAnsi="仿宋" w:eastAsia="仿宋" w:cs="仿宋"/>
          <w:sz w:val="28"/>
          <w:szCs w:val="32"/>
        </w:rPr>
        <w:t>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如有以上情况，不得参与此次投标；未有如上情况的，请附诚信承诺书。</w:t>
      </w:r>
    </w:p>
    <w:p>
      <w:pPr>
        <w:rPr>
          <w:rFonts w:hint="eastAsia" w:ascii="仿宋" w:hAnsi="仿宋" w:eastAsia="仿宋" w:cs="仿宋"/>
          <w:sz w:val="24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四、提供有效报价函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default" w:ascii="仿宋" w:hAnsi="仿宋" w:eastAsia="仿宋" w:cs="仿宋"/>
          <w:sz w:val="28"/>
          <w:szCs w:val="32"/>
          <w:lang w:val="en-US" w:eastAsia="zh-CN"/>
        </w:rPr>
        <w:t>根据下浮率高低排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列次</w:t>
      </w:r>
      <w:r>
        <w:rPr>
          <w:rFonts w:hint="default" w:ascii="仿宋" w:hAnsi="仿宋" w:eastAsia="仿宋" w:cs="仿宋"/>
          <w:sz w:val="28"/>
          <w:szCs w:val="32"/>
          <w:lang w:val="en-US" w:eastAsia="zh-CN"/>
        </w:rPr>
        <w:t>序。投标人的报价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不得</w:t>
      </w:r>
      <w:r>
        <w:rPr>
          <w:rFonts w:hint="default" w:ascii="仿宋" w:hAnsi="仿宋" w:eastAsia="仿宋" w:cs="仿宋"/>
          <w:sz w:val="28"/>
          <w:szCs w:val="32"/>
          <w:lang w:val="en-US" w:eastAsia="zh-CN"/>
        </w:rPr>
        <w:t>明显低于其他通过符合性审查投标人的报价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或市场行情报价</w:t>
      </w:r>
      <w:r>
        <w:rPr>
          <w:rFonts w:hint="default" w:ascii="仿宋" w:hAnsi="仿宋" w:eastAsia="仿宋" w:cs="仿宋"/>
          <w:sz w:val="28"/>
          <w:szCs w:val="32"/>
          <w:lang w:val="en-US" w:eastAsia="zh-CN"/>
        </w:rPr>
        <w:t>，经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认定投标人的</w:t>
      </w:r>
      <w:r>
        <w:rPr>
          <w:rFonts w:hint="default" w:ascii="仿宋" w:hAnsi="仿宋" w:eastAsia="仿宋" w:cs="仿宋"/>
          <w:sz w:val="28"/>
          <w:szCs w:val="32"/>
          <w:lang w:val="en-US" w:eastAsia="zh-CN"/>
        </w:rPr>
        <w:t>报价有可能影响服务质量或者不能诚信履约合同的，有权将其作为无效投标处理。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40B90988"/>
    <w:rsid w:val="088931E9"/>
    <w:rsid w:val="0BF8075D"/>
    <w:rsid w:val="27ED0BAF"/>
    <w:rsid w:val="39406294"/>
    <w:rsid w:val="40B90988"/>
    <w:rsid w:val="713737CC"/>
    <w:rsid w:val="752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2023-08-21T06:59:00Z</dcterms:created>
  <dc:creator>齐鲁好汉</dc:creator>
  <cp:lastModifiedBy>齐鲁好汉</cp:lastModifiedBy>
  <dcterms:modified xsi:type="dcterms:W3CDTF">2023-08-31T07:11:12Z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C317AC2D68394775B5B51BC94F395FCA_11</vt:lpwstr>
  </property>
</Properties>
</file>