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AB4">
      <w:pPr>
        <w:pStyle w:val="3"/>
        <w:pageBreakBefore w:val="0"/>
        <w:numPr>
          <w:ilvl w:val="0"/>
          <w:numId w:val="0"/>
        </w:numPr>
        <w:kinsoku/>
        <w:wordWrap/>
        <w:overflowPunct/>
        <w:topLinePunct w:val="0"/>
        <w:autoSpaceDE/>
        <w:autoSpaceDN/>
        <w:bidi w:val="0"/>
        <w:spacing w:before="0" w:beforeLines="0" w:after="0" w:afterLines="0" w:line="560" w:lineRule="exact"/>
        <w:jc w:val="left"/>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r>
        <w:rPr>
          <w:rFonts w:hint="eastAsia" w:ascii="黑体" w:hAnsi="黑体" w:cs="黑体"/>
          <w:b w:val="0"/>
          <w:bCs w:val="0"/>
          <w:i w:val="0"/>
          <w:iCs w:val="0"/>
          <w:color w:val="000000"/>
          <w:kern w:val="0"/>
          <w:sz w:val="32"/>
          <w:szCs w:val="32"/>
          <w:u w:val="none"/>
          <w:lang w:val="en-US" w:eastAsia="zh-CN" w:bidi="ar"/>
        </w:rPr>
        <w:t>：</w:t>
      </w:r>
    </w:p>
    <w:p w14:paraId="646C75AE">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保亭黎族苗族自治县人民医院</w:t>
      </w:r>
    </w:p>
    <w:p w14:paraId="39B705FA">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（保亭黎族苗族自治县医疗集团总医院）</w:t>
      </w:r>
    </w:p>
    <w:p w14:paraId="633ADF17">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2025年网络安全综合保障服务项目报价清单</w:t>
      </w:r>
    </w:p>
    <w:p w14:paraId="697604EF">
      <w:pPr>
        <w:jc w:val="center"/>
        <w:rPr>
          <w:rStyle w:val="32"/>
          <w:rFonts w:hint="eastAsia" w:ascii="黑体" w:hAnsi="黑体" w:eastAsia="黑体" w:cs="黑体"/>
          <w:b w:val="0"/>
          <w:bCs w:val="0"/>
          <w:color w:val="auto"/>
          <w:sz w:val="32"/>
          <w:szCs w:val="32"/>
          <w:highlight w:val="none"/>
          <w:lang w:val="en-US" w:eastAsia="zh-CN"/>
        </w:rPr>
      </w:pPr>
    </w:p>
    <w:p w14:paraId="51DD7742">
      <w:pPr>
        <w:pStyle w:val="14"/>
        <w:jc w:val="left"/>
        <w:rPr>
          <w:sz w:val="28"/>
          <w:szCs w:val="28"/>
        </w:rPr>
      </w:pPr>
      <w:r>
        <w:rPr>
          <w:rStyle w:val="32"/>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bCs/>
          <w:sz w:val="32"/>
          <w:szCs w:val="32"/>
        </w:rPr>
        <w:t>项目服务内容</w:t>
      </w:r>
    </w:p>
    <w:tbl>
      <w:tblPr>
        <w:tblStyle w:val="17"/>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958"/>
        <w:gridCol w:w="3084"/>
        <w:gridCol w:w="5103"/>
      </w:tblGrid>
      <w:tr w14:paraId="0E35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79" w:type="dxa"/>
            <w:vAlign w:val="center"/>
          </w:tcPr>
          <w:p w14:paraId="3834FAEA">
            <w:pPr>
              <w:snapToGrid w:val="0"/>
              <w:spacing w:line="240" w:lineRule="atLeast"/>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编号</w:t>
            </w:r>
          </w:p>
        </w:tc>
        <w:tc>
          <w:tcPr>
            <w:tcW w:w="4042" w:type="dxa"/>
            <w:gridSpan w:val="2"/>
            <w:vAlign w:val="center"/>
          </w:tcPr>
          <w:p w14:paraId="638AB7FA">
            <w:pPr>
              <w:snapToGrid w:val="0"/>
              <w:spacing w:line="240" w:lineRule="atLeast"/>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服务名称</w:t>
            </w:r>
          </w:p>
        </w:tc>
        <w:tc>
          <w:tcPr>
            <w:tcW w:w="5103" w:type="dxa"/>
            <w:vAlign w:val="center"/>
          </w:tcPr>
          <w:p w14:paraId="5BC0CAE9">
            <w:pPr>
              <w:snapToGrid w:val="0"/>
              <w:spacing w:line="240" w:lineRule="atLeast"/>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服务期限</w:t>
            </w:r>
          </w:p>
        </w:tc>
      </w:tr>
      <w:tr w14:paraId="6647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9" w:type="dxa"/>
            <w:vAlign w:val="center"/>
          </w:tcPr>
          <w:p w14:paraId="27E716A9">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042" w:type="dxa"/>
            <w:gridSpan w:val="2"/>
            <w:vAlign w:val="center"/>
          </w:tcPr>
          <w:p w14:paraId="675D1BDF">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协助定级备案服务</w:t>
            </w:r>
          </w:p>
        </w:tc>
        <w:tc>
          <w:tcPr>
            <w:tcW w:w="5103" w:type="dxa"/>
            <w:vAlign w:val="center"/>
          </w:tcPr>
          <w:p w14:paraId="7A0328FA">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自合同生效之日起15个工作日内协助完成定级备案服务</w:t>
            </w:r>
          </w:p>
        </w:tc>
      </w:tr>
      <w:tr w14:paraId="5C2E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9" w:type="dxa"/>
            <w:vMerge w:val="restart"/>
            <w:vAlign w:val="center"/>
          </w:tcPr>
          <w:p w14:paraId="731DBA34">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58" w:type="dxa"/>
            <w:vMerge w:val="restart"/>
            <w:vAlign w:val="center"/>
          </w:tcPr>
          <w:p w14:paraId="567D4809">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网络安全等级保护测评服务</w:t>
            </w:r>
          </w:p>
        </w:tc>
        <w:tc>
          <w:tcPr>
            <w:tcW w:w="3084" w:type="dxa"/>
            <w:vAlign w:val="center"/>
          </w:tcPr>
          <w:p w14:paraId="1F4177E2">
            <w:pPr>
              <w:snapToGrid w:val="0"/>
              <w:spacing w:line="240" w:lineRule="atLeast"/>
              <w:ind w:firstLine="420" w:firstLineChars="1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保亭县人民医院门户网站</w:t>
            </w:r>
          </w:p>
          <w:p w14:paraId="2DA0E12F">
            <w:pPr>
              <w:snapToGrid w:val="0"/>
              <w:spacing w:line="240" w:lineRule="atLeast"/>
              <w:ind w:firstLine="420" w:firstLineChars="1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二级（S2A2G2）</w:t>
            </w:r>
          </w:p>
        </w:tc>
        <w:tc>
          <w:tcPr>
            <w:tcW w:w="5103" w:type="dxa"/>
            <w:vMerge w:val="restart"/>
            <w:vAlign w:val="center"/>
          </w:tcPr>
          <w:p w14:paraId="0FEB97E0">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自合同生效并具备实施条件之日起60个工作日内针对五个信息系统开展等级测评工作，并输出《网络安全等级保护等级测评报告》。</w:t>
            </w:r>
          </w:p>
        </w:tc>
      </w:tr>
      <w:tr w14:paraId="78E6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79" w:type="dxa"/>
            <w:vMerge w:val="continue"/>
            <w:vAlign w:val="center"/>
          </w:tcPr>
          <w:p w14:paraId="731B0240">
            <w:pPr>
              <w:snapToGrid w:val="0"/>
              <w:spacing w:line="240" w:lineRule="atLeast"/>
              <w:jc w:val="center"/>
              <w:rPr>
                <w:rFonts w:hint="eastAsia" w:ascii="仿宋_GB2312" w:hAnsi="仿宋_GB2312" w:eastAsia="仿宋_GB2312" w:cs="仿宋_GB2312"/>
                <w:sz w:val="28"/>
                <w:szCs w:val="28"/>
              </w:rPr>
            </w:pPr>
          </w:p>
        </w:tc>
        <w:tc>
          <w:tcPr>
            <w:tcW w:w="958" w:type="dxa"/>
            <w:vMerge w:val="continue"/>
            <w:vAlign w:val="center"/>
          </w:tcPr>
          <w:p w14:paraId="6E3239FF">
            <w:pPr>
              <w:snapToGrid w:val="0"/>
              <w:spacing w:line="240" w:lineRule="atLeast"/>
              <w:rPr>
                <w:rFonts w:hint="eastAsia" w:ascii="仿宋_GB2312" w:hAnsi="仿宋_GB2312" w:eastAsia="仿宋_GB2312" w:cs="仿宋_GB2312"/>
                <w:sz w:val="28"/>
                <w:szCs w:val="28"/>
              </w:rPr>
            </w:pPr>
          </w:p>
        </w:tc>
        <w:tc>
          <w:tcPr>
            <w:tcW w:w="3084" w:type="dxa"/>
            <w:vAlign w:val="center"/>
          </w:tcPr>
          <w:p w14:paraId="17E7E972">
            <w:pPr>
              <w:snapToGrid w:val="0"/>
              <w:spacing w:line="240" w:lineRule="atLeast"/>
              <w:ind w:firstLine="420" w:firstLineChars="1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机房网络</w:t>
            </w:r>
            <w:r>
              <w:rPr>
                <w:rFonts w:hint="eastAsia" w:ascii="仿宋_GB2312" w:hAnsi="仿宋_GB2312" w:eastAsia="仿宋_GB2312" w:cs="仿宋_GB2312"/>
                <w:sz w:val="28"/>
                <w:szCs w:val="28"/>
              </w:rPr>
              <w:t>系统</w:t>
            </w:r>
          </w:p>
          <w:p w14:paraId="36F36CFE">
            <w:pPr>
              <w:snapToGrid w:val="0"/>
              <w:spacing w:line="240" w:lineRule="atLeast"/>
              <w:ind w:firstLine="420" w:firstLineChars="1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拟定</w:t>
            </w:r>
            <w:r>
              <w:rPr>
                <w:rFonts w:hint="eastAsia" w:ascii="仿宋_GB2312" w:hAnsi="仿宋_GB2312" w:eastAsia="仿宋_GB2312" w:cs="仿宋_GB2312"/>
                <w:sz w:val="28"/>
                <w:szCs w:val="28"/>
              </w:rPr>
              <w:t>二级（S2A2G2）</w:t>
            </w:r>
          </w:p>
        </w:tc>
        <w:tc>
          <w:tcPr>
            <w:tcW w:w="5103" w:type="dxa"/>
            <w:vMerge w:val="continue"/>
            <w:vAlign w:val="center"/>
          </w:tcPr>
          <w:p w14:paraId="33A9170E">
            <w:pPr>
              <w:snapToGrid w:val="0"/>
              <w:spacing w:line="240" w:lineRule="atLeast"/>
              <w:jc w:val="center"/>
              <w:rPr>
                <w:rFonts w:hint="eastAsia" w:ascii="仿宋_GB2312" w:hAnsi="仿宋_GB2312" w:eastAsia="仿宋_GB2312" w:cs="仿宋_GB2312"/>
                <w:sz w:val="28"/>
                <w:szCs w:val="28"/>
              </w:rPr>
            </w:pPr>
          </w:p>
        </w:tc>
      </w:tr>
      <w:tr w14:paraId="22E5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79" w:type="dxa"/>
            <w:vMerge w:val="restart"/>
            <w:vAlign w:val="center"/>
          </w:tcPr>
          <w:p w14:paraId="59D38C10">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58" w:type="dxa"/>
            <w:vMerge w:val="restart"/>
            <w:vAlign w:val="center"/>
          </w:tcPr>
          <w:p w14:paraId="23B134C1">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p>
          <w:p w14:paraId="60419C04">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w:t>
            </w:r>
          </w:p>
        </w:tc>
        <w:tc>
          <w:tcPr>
            <w:tcW w:w="3084" w:type="dxa"/>
            <w:vAlign w:val="center"/>
          </w:tcPr>
          <w:p w14:paraId="500B1F5E">
            <w:pPr>
              <w:snapToGrid w:val="0"/>
              <w:spacing w:line="240" w:lineRule="atLeast"/>
              <w:ind w:firstLine="420" w:firstLineChars="1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网络安全整改建设方案设计服务</w:t>
            </w:r>
          </w:p>
        </w:tc>
        <w:tc>
          <w:tcPr>
            <w:tcW w:w="5103" w:type="dxa"/>
            <w:vAlign w:val="center"/>
          </w:tcPr>
          <w:p w14:paraId="55BF31CA">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自合同生效并具备实施条件之日起60个工作日内完成并输出《网络安全整改设计方案》。</w:t>
            </w:r>
          </w:p>
        </w:tc>
      </w:tr>
      <w:tr w14:paraId="15C7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79" w:type="dxa"/>
            <w:vMerge w:val="continue"/>
            <w:vAlign w:val="center"/>
          </w:tcPr>
          <w:p w14:paraId="35E0A064">
            <w:pPr>
              <w:snapToGrid w:val="0"/>
              <w:spacing w:line="240" w:lineRule="atLeast"/>
              <w:jc w:val="center"/>
              <w:rPr>
                <w:rFonts w:hint="eastAsia" w:ascii="仿宋_GB2312" w:hAnsi="仿宋_GB2312" w:eastAsia="仿宋_GB2312" w:cs="仿宋_GB2312"/>
                <w:sz w:val="28"/>
                <w:szCs w:val="28"/>
              </w:rPr>
            </w:pPr>
          </w:p>
        </w:tc>
        <w:tc>
          <w:tcPr>
            <w:tcW w:w="958" w:type="dxa"/>
            <w:vMerge w:val="continue"/>
            <w:vAlign w:val="center"/>
          </w:tcPr>
          <w:p w14:paraId="0575F0C7">
            <w:pPr>
              <w:snapToGrid w:val="0"/>
              <w:spacing w:line="240" w:lineRule="atLeast"/>
              <w:jc w:val="center"/>
              <w:rPr>
                <w:rFonts w:hint="eastAsia" w:ascii="仿宋_GB2312" w:hAnsi="仿宋_GB2312" w:eastAsia="仿宋_GB2312" w:cs="仿宋_GB2312"/>
                <w:sz w:val="28"/>
                <w:szCs w:val="28"/>
              </w:rPr>
            </w:pPr>
          </w:p>
        </w:tc>
        <w:tc>
          <w:tcPr>
            <w:tcW w:w="3084" w:type="dxa"/>
            <w:vAlign w:val="center"/>
          </w:tcPr>
          <w:p w14:paraId="18A2AA9B">
            <w:pPr>
              <w:snapToGrid w:val="0"/>
              <w:spacing w:line="24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网络安全应急演练服务</w:t>
            </w:r>
          </w:p>
        </w:tc>
        <w:tc>
          <w:tcPr>
            <w:tcW w:w="5103" w:type="dxa"/>
            <w:vAlign w:val="center"/>
          </w:tcPr>
          <w:p w14:paraId="3377CB82">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自合同生效并具备实施条件之日起60个工作日内完成网络安全应急演练服务。</w:t>
            </w:r>
          </w:p>
        </w:tc>
      </w:tr>
      <w:tr w14:paraId="54C4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79" w:type="dxa"/>
            <w:vMerge w:val="restart"/>
            <w:vAlign w:val="center"/>
          </w:tcPr>
          <w:p w14:paraId="1151023D">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58" w:type="dxa"/>
            <w:vMerge w:val="restart"/>
            <w:vAlign w:val="center"/>
          </w:tcPr>
          <w:p w14:paraId="6BCF9D8C">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售后服务</w:t>
            </w:r>
          </w:p>
        </w:tc>
        <w:tc>
          <w:tcPr>
            <w:tcW w:w="3084" w:type="dxa"/>
            <w:vAlign w:val="center"/>
          </w:tcPr>
          <w:p w14:paraId="16DBF754">
            <w:pPr>
              <w:snapToGrid w:val="0"/>
              <w:spacing w:line="24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WEB云监测服务</w:t>
            </w:r>
          </w:p>
        </w:tc>
        <w:tc>
          <w:tcPr>
            <w:tcW w:w="5103" w:type="dxa"/>
            <w:vAlign w:val="center"/>
          </w:tcPr>
          <w:p w14:paraId="0FAC018C">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自合同生效之日起一年内完成WEB云监测服务并按季度输出《</w:t>
            </w:r>
            <w:r>
              <w:rPr>
                <w:rFonts w:hint="eastAsia" w:ascii="仿宋_GB2312" w:hAnsi="仿宋_GB2312" w:eastAsia="仿宋_GB2312" w:cs="仿宋_GB2312"/>
                <w:color w:val="000000"/>
                <w:sz w:val="28"/>
                <w:szCs w:val="28"/>
              </w:rPr>
              <w:t>WEB云监测报告</w:t>
            </w:r>
            <w:r>
              <w:rPr>
                <w:rFonts w:hint="eastAsia" w:ascii="仿宋_GB2312" w:hAnsi="仿宋_GB2312" w:eastAsia="仿宋_GB2312" w:cs="仿宋_GB2312"/>
                <w:sz w:val="28"/>
                <w:szCs w:val="28"/>
              </w:rPr>
              <w:t>》。</w:t>
            </w:r>
          </w:p>
        </w:tc>
      </w:tr>
      <w:tr w14:paraId="5D5B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79" w:type="dxa"/>
            <w:vMerge w:val="continue"/>
            <w:vAlign w:val="center"/>
          </w:tcPr>
          <w:p w14:paraId="026EF756">
            <w:pPr>
              <w:snapToGrid w:val="0"/>
              <w:spacing w:line="240" w:lineRule="atLeast"/>
              <w:jc w:val="center"/>
              <w:rPr>
                <w:rFonts w:hint="eastAsia" w:ascii="仿宋_GB2312" w:hAnsi="仿宋_GB2312" w:eastAsia="仿宋_GB2312" w:cs="仿宋_GB2312"/>
                <w:sz w:val="28"/>
                <w:szCs w:val="28"/>
              </w:rPr>
            </w:pPr>
          </w:p>
        </w:tc>
        <w:tc>
          <w:tcPr>
            <w:tcW w:w="958" w:type="dxa"/>
            <w:vMerge w:val="continue"/>
            <w:vAlign w:val="center"/>
          </w:tcPr>
          <w:p w14:paraId="76135B3B">
            <w:pPr>
              <w:snapToGrid w:val="0"/>
              <w:spacing w:line="240" w:lineRule="atLeast"/>
              <w:jc w:val="center"/>
              <w:rPr>
                <w:rFonts w:hint="eastAsia" w:ascii="仿宋_GB2312" w:hAnsi="仿宋_GB2312" w:eastAsia="仿宋_GB2312" w:cs="仿宋_GB2312"/>
                <w:sz w:val="28"/>
                <w:szCs w:val="28"/>
              </w:rPr>
            </w:pPr>
          </w:p>
        </w:tc>
        <w:tc>
          <w:tcPr>
            <w:tcW w:w="3084" w:type="dxa"/>
            <w:vAlign w:val="center"/>
          </w:tcPr>
          <w:p w14:paraId="5F9FE118">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网络</w:t>
            </w:r>
            <w:r>
              <w:rPr>
                <w:rFonts w:hint="eastAsia" w:ascii="仿宋_GB2312" w:hAnsi="仿宋_GB2312" w:eastAsia="仿宋_GB2312" w:cs="仿宋_GB2312"/>
                <w:sz w:val="28"/>
                <w:szCs w:val="28"/>
              </w:rPr>
              <w:t>安全巡检服务</w:t>
            </w:r>
          </w:p>
        </w:tc>
        <w:tc>
          <w:tcPr>
            <w:tcW w:w="5103" w:type="dxa"/>
            <w:vAlign w:val="center"/>
          </w:tcPr>
          <w:p w14:paraId="138B2D76">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自合同生效之日起一年内完成4次安全巡检并输出《安全巡检报告》。</w:t>
            </w:r>
          </w:p>
        </w:tc>
      </w:tr>
      <w:tr w14:paraId="535D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737" w:type="dxa"/>
            <w:gridSpan w:val="2"/>
            <w:shd w:val="clear" w:color="auto" w:fill="auto"/>
            <w:vAlign w:val="center"/>
          </w:tcPr>
          <w:p w14:paraId="6273D9CB">
            <w:pPr>
              <w:widowControl/>
              <w:spacing w:after="78" w:line="240" w:lineRule="auto"/>
              <w:ind w:firstLine="280" w:firstLineChars="10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合计金额</w:t>
            </w:r>
          </w:p>
        </w:tc>
        <w:tc>
          <w:tcPr>
            <w:tcW w:w="8187" w:type="dxa"/>
            <w:gridSpan w:val="2"/>
            <w:shd w:val="clear" w:color="auto" w:fill="auto"/>
            <w:vAlign w:val="center"/>
          </w:tcPr>
          <w:p w14:paraId="088675F2">
            <w:pPr>
              <w:widowControl/>
              <w:spacing w:after="78" w:line="240" w:lineRule="auto"/>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2C5BFC5C">
            <w:pPr>
              <w:widowControl/>
              <w:spacing w:after="78" w:line="240" w:lineRule="auto"/>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大写：                                    小写：</w:t>
            </w:r>
          </w:p>
          <w:p w14:paraId="5CAC065A">
            <w:pPr>
              <w:widowControl/>
              <w:spacing w:after="78" w:line="240" w:lineRule="auto"/>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14:paraId="03CE499E">
      <w:pP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以上报价含税及服务过程中可能产生的其他费用。</w:t>
      </w:r>
    </w:p>
    <w:p w14:paraId="4FF16A89">
      <w:pPr>
        <w:bidi w:val="0"/>
        <w:rPr>
          <w:rFonts w:hint="eastAsia" w:ascii="仿宋_GB2312" w:hAnsi="仿宋_GB2312" w:eastAsia="仿宋_GB2312" w:cs="仿宋_GB2312"/>
          <w:sz w:val="32"/>
          <w:szCs w:val="32"/>
          <w:lang w:val="en-US" w:eastAsia="zh-CN"/>
        </w:rPr>
      </w:pPr>
    </w:p>
    <w:p w14:paraId="6D108FA1">
      <w:pPr>
        <w:pStyle w:val="14"/>
        <w:jc w:val="left"/>
        <w:rPr>
          <w:rStyle w:val="32"/>
          <w:rFonts w:hint="eastAsia" w:ascii="黑体" w:hAnsi="黑体" w:eastAsia="黑体" w:cs="黑体"/>
          <w:b w:val="0"/>
          <w:bCs w:val="0"/>
          <w:color w:val="auto"/>
          <w:sz w:val="32"/>
          <w:szCs w:val="32"/>
          <w:highlight w:val="none"/>
          <w:lang w:val="en-US" w:eastAsia="zh-CN"/>
        </w:rPr>
      </w:pPr>
    </w:p>
    <w:p w14:paraId="1C2EB19D">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3094A346">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FBDCDD3">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D80158E">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报价单位：（盖章）                                </w:t>
      </w:r>
    </w:p>
    <w:p w14:paraId="0C7FBEF1">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CF14C0C">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1CD7A941">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1FFD6905">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71C4B838">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联 系 人：              身份证号：                              </w:t>
      </w:r>
    </w:p>
    <w:p w14:paraId="0D85B243">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05B290C3">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9ADBD19">
      <w:pPr>
        <w:pageBreakBefore w:val="0"/>
        <w:kinsoku/>
        <w:wordWrap/>
        <w:overflowPunct/>
        <w:topLinePunct w:val="0"/>
        <w:autoSpaceDE/>
        <w:autoSpaceDN/>
        <w:bidi w:val="0"/>
        <w:spacing w:line="560" w:lineRule="exact"/>
        <w:rPr>
          <w:rFonts w:hint="eastAsia" w:ascii="宋体" w:hAnsi="宋体" w:eastAsia="宋体" w:cs="宋体"/>
          <w:b w:val="0"/>
          <w:bCs/>
          <w:sz w:val="24"/>
          <w:szCs w:val="21"/>
          <w:lang w:val="en-US" w:eastAsia="zh-CN"/>
        </w:rPr>
      </w:pPr>
      <w:r>
        <w:rPr>
          <w:rFonts w:hint="eastAsia" w:ascii="仿宋_GB2312" w:hAnsi="仿宋_GB2312" w:eastAsia="仿宋_GB2312" w:cs="仿宋_GB2312"/>
          <w:b w:val="0"/>
          <w:bCs/>
          <w:sz w:val="32"/>
          <w:szCs w:val="32"/>
          <w:lang w:val="en-US" w:eastAsia="zh-CN"/>
        </w:rPr>
        <w:t>电    话：              日    期：2025年  月    日</w:t>
      </w:r>
    </w:p>
    <w:p w14:paraId="0861EB73">
      <w:pPr>
        <w:pStyle w:val="14"/>
        <w:jc w:val="left"/>
        <w:rPr>
          <w:rStyle w:val="32"/>
          <w:rFonts w:hint="eastAsia" w:ascii="黑体" w:hAnsi="黑体" w:eastAsia="黑体" w:cs="黑体"/>
          <w:b w:val="0"/>
          <w:bCs w:val="0"/>
          <w:color w:val="auto"/>
          <w:sz w:val="32"/>
          <w:szCs w:val="32"/>
          <w:highlight w:val="none"/>
          <w:lang w:val="en-US" w:eastAsia="zh-CN"/>
        </w:rPr>
      </w:pPr>
    </w:p>
    <w:p w14:paraId="5F14DB91">
      <w:pPr>
        <w:pStyle w:val="14"/>
        <w:jc w:val="left"/>
        <w:rPr>
          <w:rStyle w:val="32"/>
          <w:rFonts w:hint="eastAsia" w:ascii="黑体" w:hAnsi="黑体" w:eastAsia="黑体" w:cs="黑体"/>
          <w:b w:val="0"/>
          <w:bCs w:val="0"/>
          <w:color w:val="auto"/>
          <w:sz w:val="32"/>
          <w:szCs w:val="32"/>
          <w:highlight w:val="none"/>
          <w:lang w:val="en-US" w:eastAsia="zh-CN"/>
        </w:rPr>
      </w:pPr>
    </w:p>
    <w:p w14:paraId="49AEB455">
      <w:pPr>
        <w:pStyle w:val="14"/>
        <w:jc w:val="left"/>
        <w:rPr>
          <w:rStyle w:val="32"/>
          <w:rFonts w:hint="eastAsia" w:ascii="黑体" w:hAnsi="黑体" w:eastAsia="黑体" w:cs="黑体"/>
          <w:b w:val="0"/>
          <w:bCs w:val="0"/>
          <w:color w:val="auto"/>
          <w:sz w:val="32"/>
          <w:szCs w:val="32"/>
          <w:highlight w:val="none"/>
          <w:lang w:val="en-US" w:eastAsia="zh-CN"/>
        </w:rPr>
      </w:pPr>
    </w:p>
    <w:p w14:paraId="47B26990">
      <w:pPr>
        <w:rPr>
          <w:rStyle w:val="32"/>
          <w:rFonts w:hint="eastAsia" w:ascii="黑体" w:hAnsi="黑体" w:eastAsia="黑体" w:cs="黑体"/>
          <w:b w:val="0"/>
          <w:bCs w:val="0"/>
          <w:color w:val="auto"/>
          <w:sz w:val="32"/>
          <w:szCs w:val="32"/>
          <w:highlight w:val="none"/>
          <w:lang w:val="en-US" w:eastAsia="zh-CN"/>
        </w:rPr>
      </w:pPr>
    </w:p>
    <w:p w14:paraId="67423700">
      <w:pPr>
        <w:rPr>
          <w:rStyle w:val="32"/>
          <w:rFonts w:hint="eastAsia" w:ascii="黑体" w:hAnsi="黑体" w:eastAsia="黑体" w:cs="黑体"/>
          <w:b w:val="0"/>
          <w:bCs w:val="0"/>
          <w:color w:val="auto"/>
          <w:sz w:val="32"/>
          <w:szCs w:val="32"/>
          <w:highlight w:val="none"/>
          <w:lang w:val="en-US" w:eastAsia="zh-CN"/>
        </w:rPr>
      </w:pPr>
    </w:p>
    <w:p w14:paraId="3A7C2629">
      <w:pPr>
        <w:rPr>
          <w:rStyle w:val="32"/>
          <w:rFonts w:hint="eastAsia" w:ascii="黑体" w:hAnsi="黑体" w:eastAsia="黑体" w:cs="黑体"/>
          <w:b w:val="0"/>
          <w:bCs w:val="0"/>
          <w:color w:val="auto"/>
          <w:sz w:val="32"/>
          <w:szCs w:val="32"/>
          <w:highlight w:val="none"/>
          <w:lang w:val="en-US" w:eastAsia="zh-CN"/>
        </w:rPr>
      </w:pPr>
    </w:p>
    <w:p w14:paraId="51F6F148">
      <w:pPr>
        <w:rPr>
          <w:rStyle w:val="32"/>
          <w:rFonts w:hint="eastAsia" w:ascii="黑体" w:hAnsi="黑体" w:eastAsia="黑体" w:cs="黑体"/>
          <w:b w:val="0"/>
          <w:bCs w:val="0"/>
          <w:color w:val="auto"/>
          <w:sz w:val="32"/>
          <w:szCs w:val="32"/>
          <w:highlight w:val="none"/>
          <w:lang w:val="en-US" w:eastAsia="zh-CN"/>
        </w:rPr>
      </w:pPr>
    </w:p>
    <w:p w14:paraId="1D9A2872">
      <w:pPr>
        <w:rPr>
          <w:rStyle w:val="32"/>
          <w:rFonts w:hint="eastAsia" w:ascii="黑体" w:hAnsi="黑体" w:eastAsia="黑体" w:cs="黑体"/>
          <w:b w:val="0"/>
          <w:bCs w:val="0"/>
          <w:color w:val="auto"/>
          <w:sz w:val="32"/>
          <w:szCs w:val="32"/>
          <w:highlight w:val="none"/>
          <w:lang w:val="en-US" w:eastAsia="zh-CN"/>
        </w:rPr>
      </w:pPr>
    </w:p>
    <w:p w14:paraId="661C7E6D">
      <w:pPr>
        <w:rPr>
          <w:rStyle w:val="32"/>
          <w:rFonts w:hint="eastAsia" w:ascii="黑体" w:hAnsi="黑体" w:eastAsia="黑体" w:cs="黑体"/>
          <w:b w:val="0"/>
          <w:bCs w:val="0"/>
          <w:color w:val="auto"/>
          <w:sz w:val="32"/>
          <w:szCs w:val="32"/>
          <w:highlight w:val="none"/>
          <w:lang w:val="en-US" w:eastAsia="zh-CN"/>
        </w:rPr>
      </w:pPr>
    </w:p>
    <w:p w14:paraId="1845E0E2">
      <w:pPr>
        <w:rPr>
          <w:rStyle w:val="32"/>
          <w:rFonts w:hint="eastAsia" w:ascii="黑体" w:hAnsi="黑体" w:eastAsia="黑体" w:cs="黑体"/>
          <w:b w:val="0"/>
          <w:bCs w:val="0"/>
          <w:color w:val="auto"/>
          <w:sz w:val="32"/>
          <w:szCs w:val="32"/>
          <w:highlight w:val="none"/>
          <w:lang w:val="en-US" w:eastAsia="zh-CN"/>
        </w:rPr>
      </w:pPr>
    </w:p>
    <w:p w14:paraId="6B71D19E">
      <w:pPr>
        <w:pStyle w:val="14"/>
        <w:jc w:val="left"/>
        <w:rPr>
          <w:rStyle w:val="32"/>
          <w:rFonts w:hint="eastAsia" w:ascii="黑体" w:hAnsi="黑体" w:eastAsia="黑体" w:cs="黑体"/>
          <w:b w:val="0"/>
          <w:bCs w:val="0"/>
          <w:color w:val="auto"/>
          <w:sz w:val="32"/>
          <w:szCs w:val="32"/>
          <w:highlight w:val="none"/>
          <w:lang w:val="en-US" w:eastAsia="zh-CN"/>
        </w:rPr>
      </w:pPr>
      <w:r>
        <w:rPr>
          <w:rStyle w:val="32"/>
          <w:rFonts w:hint="eastAsia" w:ascii="黑体" w:hAnsi="黑体" w:eastAsia="黑体" w:cs="黑体"/>
          <w:b w:val="0"/>
          <w:bCs w:val="0"/>
          <w:color w:val="auto"/>
          <w:sz w:val="32"/>
          <w:szCs w:val="32"/>
          <w:highlight w:val="none"/>
          <w:lang w:val="en-US" w:eastAsia="zh-CN"/>
        </w:rPr>
        <w:t>二、项目服务地点</w:t>
      </w:r>
    </w:p>
    <w:p w14:paraId="08838E2B">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本次项目服务地点为保亭</w:t>
      </w:r>
      <w:r>
        <w:rPr>
          <w:rFonts w:hint="eastAsia" w:ascii="仿宋_GB2312" w:hAnsi="仿宋_GB2312" w:eastAsia="仿宋_GB2312" w:cs="仿宋_GB2312"/>
          <w:sz w:val="32"/>
          <w:szCs w:val="32"/>
          <w:lang w:val="en-US" w:eastAsia="zh-CN"/>
        </w:rPr>
        <w:t>黎族苗族自治县</w:t>
      </w:r>
      <w:r>
        <w:rPr>
          <w:rFonts w:hint="eastAsia" w:ascii="仿宋_GB2312" w:hAnsi="仿宋_GB2312" w:eastAsia="仿宋_GB2312" w:cs="仿宋_GB2312"/>
          <w:sz w:val="32"/>
          <w:szCs w:val="32"/>
        </w:rPr>
        <w:t>人民医院</w:t>
      </w:r>
    </w:p>
    <w:p w14:paraId="39F1AD29">
      <w:pPr>
        <w:pStyle w:val="14"/>
        <w:jc w:val="left"/>
        <w:rPr>
          <w:rStyle w:val="32"/>
          <w:rFonts w:hint="eastAsia" w:ascii="黑体" w:hAnsi="黑体" w:eastAsia="黑体" w:cs="黑体"/>
          <w:b w:val="0"/>
          <w:bCs w:val="0"/>
          <w:color w:val="auto"/>
          <w:sz w:val="32"/>
          <w:szCs w:val="32"/>
          <w:highlight w:val="none"/>
          <w:lang w:val="en-US" w:eastAsia="zh-CN"/>
        </w:rPr>
      </w:pPr>
      <w:r>
        <w:rPr>
          <w:rStyle w:val="32"/>
          <w:rFonts w:hint="eastAsia" w:ascii="黑体" w:hAnsi="黑体" w:eastAsia="黑体" w:cs="黑体"/>
          <w:b w:val="0"/>
          <w:bCs w:val="0"/>
          <w:color w:val="auto"/>
          <w:sz w:val="32"/>
          <w:szCs w:val="32"/>
          <w:highlight w:val="none"/>
          <w:lang w:val="en-US" w:eastAsia="zh-CN"/>
        </w:rPr>
        <w:t>三、项目服务要求</w:t>
      </w:r>
    </w:p>
    <w:p w14:paraId="078CD7D0">
      <w:pPr>
        <w:pStyle w:val="11"/>
        <w:jc w:val="left"/>
        <w:rPr>
          <w:rStyle w:val="20"/>
          <w:rFonts w:hint="eastAsia" w:ascii="仿宋_GB2312" w:hAnsi="仿宋_GB2312" w:eastAsia="仿宋_GB2312" w:cs="仿宋_GB2312"/>
          <w:b w:val="0"/>
          <w:bCs w:val="0"/>
          <w:sz w:val="32"/>
          <w:szCs w:val="32"/>
          <w:lang w:eastAsia="zh-CN"/>
        </w:rPr>
      </w:pPr>
      <w:bookmarkStart w:id="0" w:name="_Toc244418536"/>
      <w:r>
        <w:rPr>
          <w:rStyle w:val="20"/>
          <w:rFonts w:hint="eastAsia" w:ascii="仿宋_GB2312" w:hAnsi="仿宋_GB2312" w:eastAsia="仿宋_GB2312" w:cs="仿宋_GB2312"/>
          <w:b w:val="0"/>
          <w:bCs w:val="0"/>
          <w:sz w:val="32"/>
          <w:szCs w:val="32"/>
          <w:lang w:val="en-US" w:eastAsia="zh-CN"/>
        </w:rPr>
        <w:t>3</w:t>
      </w:r>
      <w:r>
        <w:rPr>
          <w:rStyle w:val="20"/>
          <w:rFonts w:hint="eastAsia" w:ascii="仿宋_GB2312" w:hAnsi="仿宋_GB2312" w:eastAsia="仿宋_GB2312" w:cs="仿宋_GB2312"/>
          <w:b w:val="0"/>
          <w:bCs w:val="0"/>
          <w:sz w:val="32"/>
          <w:szCs w:val="32"/>
          <w:lang w:eastAsia="zh-CN"/>
        </w:rPr>
        <w:t>.1、协助定级备案服务要求</w:t>
      </w:r>
    </w:p>
    <w:p w14:paraId="413FF8D7">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方自合同签订并具备实施条件之日起15个工作日内根据网络安全等级保护相关标准和规定，协助招标方完成相关等级保护对象的定级备案工作；结合保亭县人民医院的实际情况，明确等级保护对象的边界和定级对象，确定等级保护对象的安全等级；指导招标方完成《备案表》和《定级报告》。</w:t>
      </w:r>
    </w:p>
    <w:p w14:paraId="4E3A2560">
      <w:pPr>
        <w:pStyle w:val="11"/>
        <w:jc w:val="left"/>
        <w:rPr>
          <w:rStyle w:val="20"/>
          <w:rFonts w:hint="eastAsia" w:ascii="仿宋_GB2312" w:hAnsi="仿宋_GB2312" w:eastAsia="仿宋_GB2312" w:cs="仿宋_GB2312"/>
          <w:b w:val="0"/>
          <w:bCs w:val="0"/>
          <w:sz w:val="32"/>
          <w:szCs w:val="32"/>
          <w:lang w:val="en-US" w:eastAsia="zh-CN"/>
        </w:rPr>
      </w:pPr>
      <w:r>
        <w:rPr>
          <w:rStyle w:val="20"/>
          <w:rFonts w:hint="eastAsia" w:ascii="仿宋_GB2312" w:hAnsi="仿宋_GB2312" w:eastAsia="仿宋_GB2312" w:cs="仿宋_GB2312"/>
          <w:b w:val="0"/>
          <w:bCs w:val="0"/>
          <w:sz w:val="32"/>
          <w:szCs w:val="32"/>
          <w:lang w:val="en-US" w:eastAsia="zh-CN"/>
        </w:rPr>
        <w:t>3.2、网络安全等级保护测评服务要求</w:t>
      </w:r>
    </w:p>
    <w:p w14:paraId="27B8A27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方自合同签订完成定级备案并具备实施条件之日起60个工作日内依据国家信息安全等级保护管理规定，按照《基本要求》二级S2A2G2的有关管理规范和技术标准对以上信息系统进行等级测评，通过测评掌握信息系统的安全状况、排查系统安全隐患和薄弱环节、明确信息系统安全建设整改需求；衡量信息系统的安全保护管理措施和技术措施是否符合等级保护基本要求，是否具备了相应的安全保护能力；在完成测评后，针对每个信息系统，输出相应的等级测评报告。</w:t>
      </w:r>
    </w:p>
    <w:p w14:paraId="713DEA8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（1）测评内容</w:t>
      </w:r>
    </w:p>
    <w:p w14:paraId="6F5C00F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投标方需对本项目所涉及到的系统要素进行确认、分析和梳理，提出详细的等保测评方案。</w:t>
      </w:r>
    </w:p>
    <w:p w14:paraId="379D99D6">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对信息系统的整体保护状况和信息系统组件，逐一进行安全</w:t>
      </w:r>
      <w:bookmarkStart w:id="4" w:name="_GoBack"/>
      <w:bookmarkEnd w:id="4"/>
      <w:r>
        <w:rPr>
          <w:rFonts w:hint="eastAsia" w:ascii="仿宋_GB2312" w:hAnsi="仿宋_GB2312" w:eastAsia="仿宋_GB2312" w:cs="仿宋_GB2312"/>
          <w:sz w:val="32"/>
          <w:szCs w:val="32"/>
        </w:rPr>
        <w:t>等级保护测评，测评的内容包括但不限于以下内容：</w:t>
      </w:r>
    </w:p>
    <w:p w14:paraId="342370B3">
      <w:pPr>
        <w:tabs>
          <w:tab w:val="left" w:pos="540"/>
        </w:tabs>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等级保护对象测评范围：安全技术测评和安全管理测评</w:t>
      </w:r>
    </w:p>
    <w:tbl>
      <w:tblPr>
        <w:tblStyle w:val="17"/>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168"/>
        <w:gridCol w:w="5062"/>
      </w:tblGrid>
      <w:tr w14:paraId="51F9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9" w:type="dxa"/>
            <w:tcBorders>
              <w:top w:val="single" w:color="auto" w:sz="4" w:space="0"/>
              <w:left w:val="single" w:color="auto" w:sz="4" w:space="0"/>
              <w:bottom w:val="single" w:color="auto" w:sz="4" w:space="0"/>
              <w:right w:val="single" w:color="auto" w:sz="4" w:space="0"/>
            </w:tcBorders>
          </w:tcPr>
          <w:p w14:paraId="4EA74138">
            <w:pPr>
              <w:tabs>
                <w:tab w:val="left" w:pos="540"/>
              </w:tabs>
              <w:spacing w:line="460" w:lineRule="exact"/>
              <w:jc w:val="center"/>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序号</w:t>
            </w:r>
          </w:p>
        </w:tc>
        <w:tc>
          <w:tcPr>
            <w:tcW w:w="2168" w:type="dxa"/>
            <w:tcBorders>
              <w:top w:val="single" w:color="auto" w:sz="4" w:space="0"/>
              <w:left w:val="single" w:color="auto" w:sz="4" w:space="0"/>
              <w:bottom w:val="single" w:color="auto" w:sz="4" w:space="0"/>
              <w:right w:val="single" w:color="auto" w:sz="4" w:space="0"/>
            </w:tcBorders>
          </w:tcPr>
          <w:p w14:paraId="017DD20C">
            <w:pPr>
              <w:tabs>
                <w:tab w:val="left" w:pos="540"/>
              </w:tabs>
              <w:spacing w:line="460" w:lineRule="exact"/>
              <w:jc w:val="center"/>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测评范围定义</w:t>
            </w:r>
          </w:p>
        </w:tc>
        <w:tc>
          <w:tcPr>
            <w:tcW w:w="5062" w:type="dxa"/>
            <w:tcBorders>
              <w:top w:val="single" w:color="auto" w:sz="4" w:space="0"/>
              <w:left w:val="single" w:color="auto" w:sz="4" w:space="0"/>
              <w:bottom w:val="single" w:color="auto" w:sz="4" w:space="0"/>
              <w:right w:val="single" w:color="auto" w:sz="4" w:space="0"/>
            </w:tcBorders>
          </w:tcPr>
          <w:p w14:paraId="52EFBB86">
            <w:pPr>
              <w:tabs>
                <w:tab w:val="left" w:pos="540"/>
              </w:tabs>
              <w:spacing w:line="460" w:lineRule="exact"/>
              <w:jc w:val="center"/>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测评内容</w:t>
            </w:r>
          </w:p>
        </w:tc>
      </w:tr>
      <w:tr w14:paraId="39B5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39" w:type="dxa"/>
            <w:gridSpan w:val="3"/>
            <w:tcBorders>
              <w:top w:val="single" w:color="auto" w:sz="4" w:space="0"/>
              <w:left w:val="single" w:color="auto" w:sz="4" w:space="0"/>
              <w:bottom w:val="single" w:color="auto" w:sz="4" w:space="0"/>
              <w:right w:val="single" w:color="auto" w:sz="4" w:space="0"/>
            </w:tcBorders>
            <w:shd w:val="clear" w:color="auto" w:fill="auto"/>
          </w:tcPr>
          <w:p w14:paraId="7A3E0E3E">
            <w:pPr>
              <w:tabs>
                <w:tab w:val="left" w:pos="540"/>
              </w:tabs>
              <w:spacing w:line="460" w:lineRule="exact"/>
              <w:jc w:val="center"/>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安全通用要求</w:t>
            </w:r>
          </w:p>
        </w:tc>
      </w:tr>
      <w:tr w14:paraId="22EF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7C21CA59">
            <w:pPr>
              <w:tabs>
                <w:tab w:val="left" w:pos="540"/>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168" w:type="dxa"/>
            <w:tcBorders>
              <w:top w:val="single" w:color="auto" w:sz="4" w:space="0"/>
              <w:left w:val="single" w:color="auto" w:sz="4" w:space="0"/>
              <w:bottom w:val="single" w:color="auto" w:sz="4" w:space="0"/>
              <w:right w:val="single" w:color="auto" w:sz="4" w:space="0"/>
            </w:tcBorders>
            <w:vAlign w:val="center"/>
          </w:tcPr>
          <w:p w14:paraId="375CBBC2">
            <w:pPr>
              <w:tabs>
                <w:tab w:val="left" w:pos="540"/>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安全技术测评</w:t>
            </w:r>
          </w:p>
        </w:tc>
        <w:tc>
          <w:tcPr>
            <w:tcW w:w="5062" w:type="dxa"/>
            <w:tcBorders>
              <w:top w:val="single" w:color="auto" w:sz="4" w:space="0"/>
              <w:left w:val="single" w:color="auto" w:sz="4" w:space="0"/>
              <w:bottom w:val="single" w:color="auto" w:sz="4" w:space="0"/>
              <w:right w:val="single" w:color="auto" w:sz="4" w:space="0"/>
            </w:tcBorders>
            <w:vAlign w:val="center"/>
          </w:tcPr>
          <w:p w14:paraId="7B9BCC07">
            <w:pPr>
              <w:tabs>
                <w:tab w:val="left" w:pos="540"/>
              </w:tabs>
              <w:spacing w:line="4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安全物理环境、安全通信网络、安全区域边界、安全计算环境、安全管理中心</w:t>
            </w:r>
          </w:p>
        </w:tc>
      </w:tr>
      <w:tr w14:paraId="38DE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4A712AED">
            <w:pPr>
              <w:tabs>
                <w:tab w:val="left" w:pos="540"/>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168" w:type="dxa"/>
            <w:tcBorders>
              <w:top w:val="single" w:color="auto" w:sz="4" w:space="0"/>
              <w:left w:val="single" w:color="auto" w:sz="4" w:space="0"/>
              <w:bottom w:val="single" w:color="auto" w:sz="4" w:space="0"/>
              <w:right w:val="single" w:color="auto" w:sz="4" w:space="0"/>
            </w:tcBorders>
            <w:vAlign w:val="center"/>
          </w:tcPr>
          <w:p w14:paraId="7288A28E">
            <w:pPr>
              <w:tabs>
                <w:tab w:val="left" w:pos="540"/>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安全管理测评</w:t>
            </w:r>
          </w:p>
        </w:tc>
        <w:tc>
          <w:tcPr>
            <w:tcW w:w="5062" w:type="dxa"/>
            <w:tcBorders>
              <w:top w:val="single" w:color="auto" w:sz="4" w:space="0"/>
              <w:left w:val="single" w:color="auto" w:sz="4" w:space="0"/>
              <w:bottom w:val="single" w:color="auto" w:sz="4" w:space="0"/>
              <w:right w:val="single" w:color="auto" w:sz="4" w:space="0"/>
            </w:tcBorders>
            <w:vAlign w:val="center"/>
          </w:tcPr>
          <w:p w14:paraId="7ED12754">
            <w:pPr>
              <w:tabs>
                <w:tab w:val="left" w:pos="540"/>
              </w:tabs>
              <w:spacing w:line="4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安全管理制度、安全管理机构、安全管理人员、安全建设管理、安全运维管理</w:t>
            </w:r>
          </w:p>
        </w:tc>
      </w:tr>
      <w:tr w14:paraId="667F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39" w:type="dxa"/>
            <w:gridSpan w:val="3"/>
            <w:tcBorders>
              <w:top w:val="single" w:color="auto" w:sz="4" w:space="0"/>
              <w:left w:val="single" w:color="auto" w:sz="4" w:space="0"/>
              <w:bottom w:val="single" w:color="auto" w:sz="4" w:space="0"/>
              <w:right w:val="single" w:color="auto" w:sz="4" w:space="0"/>
            </w:tcBorders>
            <w:vAlign w:val="center"/>
          </w:tcPr>
          <w:p w14:paraId="560DB254">
            <w:pPr>
              <w:tabs>
                <w:tab w:val="left" w:pos="540"/>
              </w:tabs>
              <w:spacing w:line="460" w:lineRule="exact"/>
              <w:jc w:val="center"/>
              <w:rPr>
                <w:rFonts w:ascii="宋体" w:hAnsi="宋体" w:cs="宋体"/>
                <w:b/>
                <w:color w:val="000000"/>
                <w:sz w:val="24"/>
              </w:rPr>
            </w:pPr>
            <w:r>
              <w:rPr>
                <w:rFonts w:hint="eastAsia" w:asciiTheme="majorEastAsia" w:hAnsiTheme="majorEastAsia" w:eastAsiaTheme="majorEastAsia" w:cstheme="majorEastAsia"/>
                <w:b/>
                <w:color w:val="000000"/>
                <w:sz w:val="28"/>
                <w:szCs w:val="28"/>
              </w:rPr>
              <w:t>云计算安全扩展要求</w:t>
            </w:r>
          </w:p>
        </w:tc>
      </w:tr>
      <w:tr w14:paraId="7F88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37FA2603">
            <w:pPr>
              <w:tabs>
                <w:tab w:val="left" w:pos="540"/>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168" w:type="dxa"/>
            <w:tcBorders>
              <w:top w:val="single" w:color="auto" w:sz="4" w:space="0"/>
              <w:left w:val="single" w:color="auto" w:sz="4" w:space="0"/>
              <w:bottom w:val="single" w:color="auto" w:sz="4" w:space="0"/>
              <w:right w:val="single" w:color="auto" w:sz="4" w:space="0"/>
            </w:tcBorders>
            <w:vAlign w:val="center"/>
          </w:tcPr>
          <w:p w14:paraId="129113AA">
            <w:pPr>
              <w:tabs>
                <w:tab w:val="left" w:pos="540"/>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安全技术测评</w:t>
            </w:r>
          </w:p>
        </w:tc>
        <w:tc>
          <w:tcPr>
            <w:tcW w:w="5062" w:type="dxa"/>
            <w:tcBorders>
              <w:top w:val="single" w:color="auto" w:sz="4" w:space="0"/>
              <w:left w:val="single" w:color="auto" w:sz="4" w:space="0"/>
              <w:bottom w:val="single" w:color="auto" w:sz="4" w:space="0"/>
              <w:right w:val="single" w:color="auto" w:sz="4" w:space="0"/>
            </w:tcBorders>
            <w:vAlign w:val="center"/>
          </w:tcPr>
          <w:p w14:paraId="62AC1AAD">
            <w:pPr>
              <w:tabs>
                <w:tab w:val="left" w:pos="540"/>
              </w:tabs>
              <w:spacing w:line="4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安全物理环境、安全通信网络、安全区域边界、安全计算环境、安全管理中心</w:t>
            </w:r>
          </w:p>
        </w:tc>
      </w:tr>
      <w:tr w14:paraId="52EF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2A4C4E95">
            <w:pPr>
              <w:tabs>
                <w:tab w:val="left" w:pos="540"/>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168" w:type="dxa"/>
            <w:tcBorders>
              <w:top w:val="single" w:color="auto" w:sz="4" w:space="0"/>
              <w:left w:val="single" w:color="auto" w:sz="4" w:space="0"/>
              <w:bottom w:val="single" w:color="auto" w:sz="4" w:space="0"/>
              <w:right w:val="single" w:color="auto" w:sz="4" w:space="0"/>
            </w:tcBorders>
            <w:vAlign w:val="center"/>
          </w:tcPr>
          <w:p w14:paraId="4C6F7249">
            <w:pPr>
              <w:tabs>
                <w:tab w:val="left" w:pos="540"/>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安全管理测评</w:t>
            </w:r>
          </w:p>
        </w:tc>
        <w:tc>
          <w:tcPr>
            <w:tcW w:w="5062" w:type="dxa"/>
            <w:tcBorders>
              <w:top w:val="single" w:color="auto" w:sz="4" w:space="0"/>
              <w:left w:val="single" w:color="auto" w:sz="4" w:space="0"/>
              <w:bottom w:val="single" w:color="auto" w:sz="4" w:space="0"/>
              <w:right w:val="single" w:color="auto" w:sz="4" w:space="0"/>
            </w:tcBorders>
            <w:vAlign w:val="center"/>
          </w:tcPr>
          <w:p w14:paraId="6A803149">
            <w:pPr>
              <w:tabs>
                <w:tab w:val="left" w:pos="540"/>
              </w:tabs>
              <w:spacing w:line="4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安全建设管理、安全运维管理</w:t>
            </w:r>
          </w:p>
        </w:tc>
      </w:tr>
    </w:tbl>
    <w:p w14:paraId="4E829F97">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完成测评工作后，输出符合省公安机关要求的《网络安全等级保护等级测评报告》，提出相应的整改建议。</w:t>
      </w:r>
    </w:p>
    <w:p w14:paraId="04314916">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（2）测评实施</w:t>
      </w:r>
    </w:p>
    <w:p w14:paraId="71CD93A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投标方在测评过程中，需按照《信息安全技术 网络安全等级保护测评过程指南》等标准开展测评实施工作，等级测评过程分为四个基本测评活动：测评准备活动、方案编制活动、现场测评活动、分析及报告编制活动。测评双方之间的沟通与洽谈应贯穿整个等级测评过程。提供详细的测评服务方案并按照《信息安全技术 网络安全等级保护测评过程指南》等标准开展测评实施工作。</w:t>
      </w:r>
    </w:p>
    <w:p w14:paraId="76A74702">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（3）投标方在安全服务过程中，应根据服务规范和保亭县人民医院要求提供系统、完整、清晰的服务日常报告。投标方提供的服务文档如下：</w:t>
      </w:r>
    </w:p>
    <w:p w14:paraId="0A5C1EFA">
      <w:pPr>
        <w:spacing w:line="360" w:lineRule="auto"/>
        <w:ind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①</w:t>
      </w:r>
      <w:r>
        <w:rPr>
          <w:rFonts w:hint="eastAsia" w:ascii="仿宋_GB2312" w:hAnsi="仿宋_GB2312" w:eastAsia="仿宋_GB2312" w:cs="仿宋_GB2312"/>
          <w:b w:val="0"/>
          <w:bCs/>
          <w:sz w:val="32"/>
          <w:szCs w:val="32"/>
        </w:rPr>
        <w:t>测评准备活动阶段：</w:t>
      </w:r>
    </w:p>
    <w:p w14:paraId="0B1D0B0E">
      <w:pPr>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《项目计划书》；</w:t>
      </w:r>
    </w:p>
    <w:p w14:paraId="743DCE5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《信息系统调查表》；</w:t>
      </w:r>
    </w:p>
    <w:p w14:paraId="0221803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《会议记录表》；</w:t>
      </w:r>
    </w:p>
    <w:p w14:paraId="5A3FFEF7">
      <w:pPr>
        <w:spacing w:line="360" w:lineRule="auto"/>
        <w:ind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②</w:t>
      </w:r>
      <w:r>
        <w:rPr>
          <w:rFonts w:hint="eastAsia" w:ascii="仿宋_GB2312" w:hAnsi="仿宋_GB2312" w:eastAsia="仿宋_GB2312" w:cs="仿宋_GB2312"/>
          <w:b w:val="0"/>
          <w:bCs/>
          <w:sz w:val="32"/>
          <w:szCs w:val="32"/>
        </w:rPr>
        <w:t>方案编制活动阶段：</w:t>
      </w:r>
    </w:p>
    <w:p w14:paraId="64252CC9">
      <w:pPr>
        <w:spacing w:line="360" w:lineRule="auto"/>
        <w:ind w:firstLine="480" w:firstLineChars="15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《信息系统网络安全等级测评方案》；</w:t>
      </w:r>
    </w:p>
    <w:p w14:paraId="013410D0">
      <w:pPr>
        <w:spacing w:line="360" w:lineRule="auto"/>
        <w:ind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③</w:t>
      </w:r>
      <w:r>
        <w:rPr>
          <w:rFonts w:hint="eastAsia" w:ascii="仿宋_GB2312" w:hAnsi="仿宋_GB2312" w:eastAsia="仿宋_GB2312" w:cs="仿宋_GB2312"/>
          <w:b w:val="0"/>
          <w:bCs/>
          <w:sz w:val="32"/>
          <w:szCs w:val="32"/>
        </w:rPr>
        <w:t>现场测评活动阶段：</w:t>
      </w:r>
    </w:p>
    <w:p w14:paraId="45759D5B">
      <w:pPr>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《现场测评授权书》；</w:t>
      </w:r>
    </w:p>
    <w:p w14:paraId="4C2282D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《文档交接单》；</w:t>
      </w:r>
    </w:p>
    <w:p w14:paraId="6301CAF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《会议记录》；</w:t>
      </w:r>
    </w:p>
    <w:p w14:paraId="56D55328">
      <w:pPr>
        <w:spacing w:line="360" w:lineRule="auto"/>
        <w:ind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④</w:t>
      </w:r>
      <w:r>
        <w:rPr>
          <w:rFonts w:hint="eastAsia" w:ascii="仿宋_GB2312" w:hAnsi="仿宋_GB2312" w:eastAsia="仿宋_GB2312" w:cs="仿宋_GB2312"/>
          <w:b w:val="0"/>
          <w:bCs/>
          <w:sz w:val="32"/>
          <w:szCs w:val="32"/>
        </w:rPr>
        <w:t>报告分析及编制活动阶段：</w:t>
      </w:r>
    </w:p>
    <w:p w14:paraId="50E3FA0D">
      <w:pPr>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服务成果：输出所有系统的测评报告：</w:t>
      </w:r>
    </w:p>
    <w:p w14:paraId="54FC9A5D">
      <w:pPr>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《网络安全等级保护保亭县人民医院门户网站等级测评报告》；</w:t>
      </w:r>
    </w:p>
    <w:p w14:paraId="4D317577">
      <w:pPr>
        <w:spacing w:line="360" w:lineRule="auto"/>
        <w:ind w:firstLine="640" w:firstLineChars="200"/>
        <w:rPr>
          <w:rFonts w:ascii="宋体" w:hAnsi="宋体"/>
          <w:b w:val="0"/>
          <w:bCs/>
          <w:sz w:val="24"/>
        </w:rPr>
      </w:pPr>
      <w:r>
        <w:rPr>
          <w:rFonts w:hint="eastAsia" w:ascii="仿宋_GB2312" w:hAnsi="仿宋_GB2312" w:eastAsia="仿宋_GB2312" w:cs="仿宋_GB2312"/>
          <w:b w:val="0"/>
          <w:bCs/>
          <w:sz w:val="32"/>
          <w:szCs w:val="32"/>
        </w:rPr>
        <w:t>《网络安全等级保护</w:t>
      </w:r>
      <w:r>
        <w:rPr>
          <w:rFonts w:hint="eastAsia" w:ascii="仿宋_GB2312" w:hAnsi="仿宋_GB2312" w:eastAsia="仿宋_GB2312" w:cs="仿宋_GB2312"/>
          <w:b w:val="0"/>
          <w:bCs/>
          <w:sz w:val="32"/>
          <w:szCs w:val="32"/>
          <w:lang w:val="en-US" w:eastAsia="zh-CN"/>
        </w:rPr>
        <w:t>机房网络</w:t>
      </w:r>
      <w:r>
        <w:rPr>
          <w:rFonts w:hint="eastAsia" w:ascii="仿宋_GB2312" w:hAnsi="仿宋_GB2312" w:eastAsia="仿宋_GB2312" w:cs="仿宋_GB2312"/>
          <w:b w:val="0"/>
          <w:bCs/>
          <w:sz w:val="32"/>
          <w:szCs w:val="32"/>
        </w:rPr>
        <w:t>系统等级测评报告》</w:t>
      </w:r>
      <w:r>
        <w:rPr>
          <w:rFonts w:hint="eastAsia" w:ascii="宋体" w:hAnsi="宋体"/>
          <w:b w:val="0"/>
          <w:bCs/>
          <w:sz w:val="24"/>
        </w:rPr>
        <w:t>。</w:t>
      </w:r>
    </w:p>
    <w:p w14:paraId="7D744772">
      <w:pPr>
        <w:pStyle w:val="11"/>
        <w:jc w:val="left"/>
        <w:rPr>
          <w:rStyle w:val="20"/>
          <w:rFonts w:hint="eastAsia" w:ascii="仿宋_GB2312" w:hAnsi="仿宋_GB2312" w:eastAsia="仿宋_GB2312" w:cs="仿宋_GB2312"/>
          <w:b w:val="0"/>
          <w:bCs w:val="0"/>
          <w:sz w:val="32"/>
          <w:szCs w:val="32"/>
          <w:lang w:val="en-US" w:eastAsia="zh-CN"/>
        </w:rPr>
      </w:pPr>
      <w:r>
        <w:rPr>
          <w:rStyle w:val="20"/>
          <w:rFonts w:hint="eastAsia" w:ascii="仿宋_GB2312" w:hAnsi="仿宋_GB2312" w:eastAsia="仿宋_GB2312" w:cs="仿宋_GB2312"/>
          <w:b w:val="0"/>
          <w:bCs w:val="0"/>
          <w:sz w:val="32"/>
          <w:szCs w:val="32"/>
          <w:lang w:val="en-US" w:eastAsia="zh-CN"/>
        </w:rPr>
        <w:t>3.3、网络安全整改建设方案设计服务要求：</w:t>
      </w:r>
    </w:p>
    <w:p w14:paraId="70E5CBDC">
      <w:pPr>
        <w:pStyle w:val="39"/>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投标方自合同签订并具备实施条件之日起60个工作日内，结合招标方的安全现状和测评结果，提供具有针对性的信息系统等级保护安全建设整改方案设计服务，</w:t>
      </w:r>
      <w:r>
        <w:rPr>
          <w:rFonts w:hint="eastAsia" w:ascii="仿宋_GB2312" w:hAnsi="仿宋_GB2312" w:eastAsia="仿宋_GB2312" w:cs="仿宋_GB2312"/>
          <w:color w:val="000000"/>
          <w:sz w:val="32"/>
          <w:szCs w:val="32"/>
        </w:rPr>
        <w:t>针对等级测评过程发现的问题，投标方依据信息系统安全等级保护政策法规和标准规范，以及《关于开展信息安全等级保护安全建设整改工作的指导意见》(公信安[2009]1429号)的规定，并结合本单位的实际情况，针对信息系统输出相应的《网络</w:t>
      </w:r>
      <w:r>
        <w:rPr>
          <w:rFonts w:hint="eastAsia" w:ascii="仿宋_GB2312" w:hAnsi="仿宋_GB2312" w:eastAsia="仿宋_GB2312" w:cs="仿宋_GB2312"/>
          <w:sz w:val="32"/>
          <w:szCs w:val="32"/>
        </w:rPr>
        <w:t>安全整改设计方案</w:t>
      </w:r>
      <w:r>
        <w:rPr>
          <w:rFonts w:hint="eastAsia" w:ascii="仿宋_GB2312" w:hAnsi="仿宋_GB2312" w:eastAsia="仿宋_GB2312" w:cs="仿宋_GB2312"/>
          <w:color w:val="000000"/>
          <w:sz w:val="32"/>
          <w:szCs w:val="32"/>
        </w:rPr>
        <w:t>》，包含信息系统安全建设整改技术方案与安全管理体系规划。</w:t>
      </w:r>
      <w:bookmarkEnd w:id="0"/>
    </w:p>
    <w:p w14:paraId="3ACAA30B">
      <w:pPr>
        <w:pStyle w:val="39"/>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服务成果：输出符合要求的《网络安全整改设计方案》</w:t>
      </w:r>
      <w:r>
        <w:rPr>
          <w:rFonts w:hint="eastAsia" w:ascii="仿宋_GB2312" w:hAnsi="仿宋_GB2312" w:eastAsia="仿宋_GB2312" w:cs="仿宋_GB2312"/>
          <w:sz w:val="32"/>
          <w:szCs w:val="32"/>
        </w:rPr>
        <w:t>。</w:t>
      </w:r>
    </w:p>
    <w:p w14:paraId="4C9DC1E5">
      <w:pPr>
        <w:pStyle w:val="11"/>
        <w:jc w:val="left"/>
        <w:rPr>
          <w:rStyle w:val="20"/>
          <w:rFonts w:hint="eastAsia" w:ascii="仿宋_GB2312" w:hAnsi="仿宋_GB2312" w:eastAsia="仿宋_GB2312" w:cs="仿宋_GB2312"/>
          <w:b w:val="0"/>
          <w:bCs w:val="0"/>
          <w:sz w:val="32"/>
          <w:szCs w:val="32"/>
          <w:lang w:val="en-US" w:eastAsia="zh-CN"/>
        </w:rPr>
      </w:pPr>
      <w:r>
        <w:rPr>
          <w:rStyle w:val="20"/>
          <w:rFonts w:hint="eastAsia" w:ascii="仿宋_GB2312" w:hAnsi="仿宋_GB2312" w:eastAsia="仿宋_GB2312" w:cs="仿宋_GB2312"/>
          <w:b w:val="0"/>
          <w:bCs w:val="0"/>
          <w:sz w:val="32"/>
          <w:szCs w:val="32"/>
          <w:lang w:val="en-US" w:eastAsia="zh-CN"/>
        </w:rPr>
        <w:t>3.4、网络安全应急演练服务要求：</w:t>
      </w:r>
    </w:p>
    <w:p w14:paraId="6B233692">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方自合同签订之日起60个工作日内提供一次应急演练服务。根据《网络安全事件应急预案》，对信息系统相关人员进行应急预案、应急技巧及对典型的网络安全事件进行预防等方面的培训，并针对《网络安全事件应急预案》开展相应的应急演练工作。</w:t>
      </w:r>
    </w:p>
    <w:p w14:paraId="341C673F">
      <w:pPr>
        <w:spacing w:line="360" w:lineRule="auto"/>
        <w:ind w:firstLine="640"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sz w:val="32"/>
          <w:szCs w:val="32"/>
        </w:rPr>
        <w:t>服务成果：《网络安全事件应急预案》、《网络安全事件应急演练总结评估报告》</w:t>
      </w:r>
      <w:r>
        <w:rPr>
          <w:rFonts w:hint="eastAsia" w:ascii="仿宋_GB2312" w:hAnsi="仿宋_GB2312" w:eastAsia="仿宋_GB2312" w:cs="仿宋_GB2312"/>
          <w:b w:val="0"/>
          <w:bCs/>
          <w:kern w:val="0"/>
          <w:sz w:val="32"/>
          <w:szCs w:val="32"/>
        </w:rPr>
        <w:t>。</w:t>
      </w:r>
    </w:p>
    <w:p w14:paraId="40B1B4C1">
      <w:pPr>
        <w:pStyle w:val="11"/>
        <w:jc w:val="left"/>
        <w:rPr>
          <w:rStyle w:val="20"/>
          <w:rFonts w:hint="eastAsia" w:ascii="仿宋_GB2312" w:hAnsi="仿宋_GB2312" w:eastAsia="仿宋_GB2312" w:cs="仿宋_GB2312"/>
          <w:b w:val="0"/>
          <w:bCs w:val="0"/>
          <w:sz w:val="32"/>
          <w:szCs w:val="32"/>
          <w:lang w:val="en-US" w:eastAsia="zh-CN"/>
        </w:rPr>
      </w:pPr>
      <w:r>
        <w:rPr>
          <w:rStyle w:val="20"/>
          <w:rFonts w:hint="eastAsia" w:ascii="仿宋_GB2312" w:hAnsi="仿宋_GB2312" w:eastAsia="仿宋_GB2312" w:cs="仿宋_GB2312"/>
          <w:b w:val="0"/>
          <w:bCs w:val="0"/>
          <w:sz w:val="32"/>
          <w:szCs w:val="32"/>
          <w:lang w:val="en-US" w:eastAsia="zh-CN"/>
        </w:rPr>
        <w:t>3.5、WEB云监测服务要求：</w:t>
      </w:r>
    </w:p>
    <w:p w14:paraId="7C7013EC">
      <w:pPr>
        <w:spacing w:line="360" w:lineRule="auto"/>
        <w:ind w:firstLine="480"/>
        <w:rPr>
          <w:rFonts w:ascii="宋体" w:hAnsi="宋体"/>
          <w:sz w:val="24"/>
        </w:rPr>
      </w:pPr>
      <w:r>
        <w:rPr>
          <w:rFonts w:hint="eastAsia" w:ascii="仿宋_GB2312" w:hAnsi="仿宋_GB2312" w:eastAsia="仿宋_GB2312" w:cs="仿宋_GB2312"/>
          <w:sz w:val="32"/>
          <w:szCs w:val="32"/>
        </w:rPr>
        <w:t>投标方对招标方的以下1个信息系统提供一年期的云监测工作，具体的服务范围如下</w:t>
      </w:r>
      <w:r>
        <w:rPr>
          <w:rFonts w:hint="eastAsia" w:ascii="宋体" w:hAnsi="宋体"/>
          <w:sz w:val="24"/>
        </w:rPr>
        <w:t>：</w:t>
      </w:r>
    </w:p>
    <w:tbl>
      <w:tblPr>
        <w:tblStyle w:val="17"/>
        <w:tblW w:w="8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4298"/>
        <w:gridCol w:w="3164"/>
      </w:tblGrid>
      <w:tr w14:paraId="54934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55" w:type="dxa"/>
            <w:shd w:val="clear" w:color="auto" w:fill="D9D9D9"/>
            <w:vAlign w:val="center"/>
          </w:tcPr>
          <w:p w14:paraId="72B92D55">
            <w:pPr>
              <w:tabs>
                <w:tab w:val="left" w:pos="540"/>
              </w:tabs>
              <w:spacing w:line="460" w:lineRule="exact"/>
              <w:jc w:val="center"/>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序号</w:t>
            </w:r>
          </w:p>
        </w:tc>
        <w:tc>
          <w:tcPr>
            <w:tcW w:w="4298" w:type="dxa"/>
            <w:shd w:val="clear" w:color="auto" w:fill="D9D9D9"/>
            <w:vAlign w:val="center"/>
          </w:tcPr>
          <w:p w14:paraId="450D0599">
            <w:pPr>
              <w:tabs>
                <w:tab w:val="left" w:pos="540"/>
              </w:tabs>
              <w:spacing w:line="460" w:lineRule="exact"/>
              <w:jc w:val="center"/>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信息系统名称</w:t>
            </w:r>
          </w:p>
        </w:tc>
        <w:tc>
          <w:tcPr>
            <w:tcW w:w="3164" w:type="dxa"/>
            <w:shd w:val="clear" w:color="auto" w:fill="D9D9D9"/>
            <w:vAlign w:val="center"/>
          </w:tcPr>
          <w:p w14:paraId="1F9C91D4">
            <w:pPr>
              <w:tabs>
                <w:tab w:val="left" w:pos="540"/>
              </w:tabs>
              <w:spacing w:line="460" w:lineRule="exact"/>
              <w:jc w:val="center"/>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安全保护等级</w:t>
            </w:r>
          </w:p>
        </w:tc>
      </w:tr>
      <w:tr w14:paraId="43856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755" w:type="dxa"/>
            <w:vAlign w:val="center"/>
          </w:tcPr>
          <w:p w14:paraId="30AF8F4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298" w:type="dxa"/>
            <w:vAlign w:val="center"/>
          </w:tcPr>
          <w:p w14:paraId="5A1903D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保亭</w:t>
            </w:r>
            <w:r>
              <w:rPr>
                <w:rFonts w:hint="eastAsia" w:ascii="仿宋_GB2312" w:hAnsi="仿宋_GB2312" w:eastAsia="仿宋_GB2312" w:cs="仿宋_GB2312"/>
                <w:sz w:val="28"/>
                <w:szCs w:val="28"/>
                <w:lang w:val="en-US" w:eastAsia="zh-CN"/>
              </w:rPr>
              <w:t>黎族苗族自治</w:t>
            </w:r>
            <w:r>
              <w:rPr>
                <w:rFonts w:hint="eastAsia" w:ascii="仿宋_GB2312" w:hAnsi="仿宋_GB2312" w:eastAsia="仿宋_GB2312" w:cs="仿宋_GB2312"/>
                <w:sz w:val="28"/>
                <w:szCs w:val="28"/>
              </w:rPr>
              <w:t>县人民医院门户网站</w:t>
            </w:r>
          </w:p>
        </w:tc>
        <w:tc>
          <w:tcPr>
            <w:tcW w:w="3164" w:type="dxa"/>
            <w:vAlign w:val="center"/>
          </w:tcPr>
          <w:p w14:paraId="0CB62A6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第二级S2A2G2</w:t>
            </w:r>
          </w:p>
        </w:tc>
      </w:tr>
    </w:tbl>
    <w:p w14:paraId="6EEF9D33">
      <w:pPr>
        <w:pStyle w:val="11"/>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标方通过整合多个专业WEB安全云监测平台，对WEB网站/系统安全隐患和安全事件进行7×24小时云监测，对Web系统的安全状态进行全方位监测，包括：网站漏洞（各类Web应用漏洞、网站敏感信息泄露）；安全事件（网页挂马、暗链、敏感关键字、变更）；可用性（网站访问速度、网站应用状态）；网站信息（ICP备案、Alexa排名、Whois信息、IP、网站使用的三方组件及应用）等；当Web网站系统发生报警或故障时，配备安全运营人员第一时间响应云监测，提供安全保障咨询。</w:t>
      </w:r>
    </w:p>
    <w:p w14:paraId="796E9107">
      <w:pPr>
        <w:pStyle w:val="39"/>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服务成果：按季度输出《Web网站安全云监测报告》。</w:t>
      </w:r>
    </w:p>
    <w:p w14:paraId="21BEC224">
      <w:pPr>
        <w:pStyle w:val="11"/>
        <w:jc w:val="left"/>
        <w:rPr>
          <w:rStyle w:val="20"/>
          <w:rFonts w:hint="eastAsia" w:ascii="仿宋_GB2312" w:hAnsi="仿宋_GB2312" w:eastAsia="仿宋_GB2312" w:cs="仿宋_GB2312"/>
          <w:b w:val="0"/>
          <w:bCs w:val="0"/>
          <w:sz w:val="32"/>
          <w:szCs w:val="32"/>
          <w:lang w:val="en-US" w:eastAsia="zh-CN"/>
        </w:rPr>
      </w:pPr>
      <w:r>
        <w:rPr>
          <w:rStyle w:val="20"/>
          <w:rFonts w:hint="eastAsia" w:ascii="仿宋_GB2312" w:hAnsi="仿宋_GB2312" w:eastAsia="仿宋_GB2312" w:cs="仿宋_GB2312"/>
          <w:b w:val="0"/>
          <w:bCs w:val="0"/>
          <w:sz w:val="32"/>
          <w:szCs w:val="32"/>
          <w:lang w:val="en-US" w:eastAsia="zh-CN"/>
        </w:rPr>
        <w:t>3.6、安全巡检服务要求：</w:t>
      </w:r>
    </w:p>
    <w:p w14:paraId="2E2A97A7">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信息系统安全稳定运行，投标方为招标方提供一年内4次的网络安全巡检服务，具体的工作内容包括建立安全巡检台账、物理机房安全巡检、网络边界安全巡检、关键安全设备巡检、操作系统安全巡检、数据库系统安全巡检、中间件安全巡检、数据备份与恢复措施巡检、工具扫描与技术检测及安全管理落实情况巡检十个方面安全巡检项。服务完成后提交相应的《网络安全差距评估报告》。并配合招标方协调相关系统开发商和安全服务商及时对发现的问题进行整改，以加强网络与信息系统安全管理和技术防护，促进安全防护能力和水平提升，预防和减少重大网络安全事件的发生。</w:t>
      </w:r>
    </w:p>
    <w:p w14:paraId="33089A77">
      <w:pPr>
        <w:pStyle w:val="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服务成果：</w:t>
      </w:r>
    </w:p>
    <w:p w14:paraId="6C1A94EE">
      <w:pPr>
        <w:pStyle w:val="39"/>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通过定期开展信息系统安全巡检服务，及时发现存在的安全问题和薄弱环节。根据情况分析面临的安全威胁和风险，输出相应的《安全巡检报告》，对发现的安全隐患提供改善建议。</w:t>
      </w:r>
    </w:p>
    <w:p w14:paraId="6CE67679">
      <w:pPr>
        <w:pStyle w:val="14"/>
        <w:jc w:val="left"/>
        <w:rPr>
          <w:rStyle w:val="32"/>
          <w:rFonts w:hint="eastAsia" w:ascii="黑体" w:hAnsi="黑体" w:eastAsia="黑体" w:cs="黑体"/>
          <w:b w:val="0"/>
          <w:bCs w:val="0"/>
          <w:color w:val="auto"/>
          <w:sz w:val="32"/>
          <w:szCs w:val="32"/>
          <w:highlight w:val="none"/>
          <w:lang w:val="en-US" w:eastAsia="zh-CN"/>
        </w:rPr>
      </w:pPr>
      <w:bookmarkStart w:id="1" w:name="_Toc244418545"/>
      <w:r>
        <w:rPr>
          <w:rStyle w:val="32"/>
          <w:rFonts w:hint="eastAsia" w:ascii="黑体" w:hAnsi="黑体" w:eastAsia="黑体" w:cs="黑体"/>
          <w:b w:val="0"/>
          <w:bCs w:val="0"/>
          <w:color w:val="auto"/>
          <w:sz w:val="32"/>
          <w:szCs w:val="32"/>
          <w:highlight w:val="none"/>
          <w:lang w:val="en-US" w:eastAsia="zh-CN"/>
        </w:rPr>
        <w:t>四、项目实施</w:t>
      </w:r>
      <w:bookmarkEnd w:id="1"/>
      <w:r>
        <w:rPr>
          <w:rStyle w:val="32"/>
          <w:rFonts w:hint="eastAsia" w:ascii="黑体" w:hAnsi="黑体" w:eastAsia="黑体" w:cs="黑体"/>
          <w:b w:val="0"/>
          <w:bCs w:val="0"/>
          <w:color w:val="auto"/>
          <w:sz w:val="32"/>
          <w:szCs w:val="32"/>
          <w:highlight w:val="none"/>
          <w:lang w:val="en-US" w:eastAsia="zh-CN"/>
        </w:rPr>
        <w:t>要求</w:t>
      </w:r>
    </w:p>
    <w:p w14:paraId="605C0301">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项目实施过程中，投标方应遵循国家标准、行业标准。</w:t>
      </w:r>
    </w:p>
    <w:p w14:paraId="44EC31BA">
      <w:pPr>
        <w:pStyle w:val="11"/>
        <w:jc w:val="left"/>
        <w:rPr>
          <w:rStyle w:val="20"/>
          <w:rFonts w:hint="eastAsia" w:asciiTheme="majorEastAsia" w:hAnsiTheme="majorEastAsia" w:eastAsiaTheme="majorEastAsia" w:cstheme="majorEastAsia"/>
          <w:b w:val="0"/>
          <w:bCs w:val="0"/>
          <w:sz w:val="32"/>
          <w:szCs w:val="32"/>
          <w:lang w:val="en-US" w:eastAsia="zh-CN"/>
        </w:rPr>
      </w:pPr>
      <w:r>
        <w:rPr>
          <w:rStyle w:val="20"/>
          <w:rFonts w:hint="eastAsia" w:asciiTheme="majorEastAsia" w:hAnsiTheme="majorEastAsia" w:eastAsiaTheme="majorEastAsia" w:cstheme="majorEastAsia"/>
          <w:b w:val="0"/>
          <w:bCs w:val="0"/>
          <w:sz w:val="32"/>
          <w:szCs w:val="32"/>
          <w:lang w:val="en-US" w:eastAsia="zh-CN"/>
        </w:rPr>
        <w:t>4.1、项目实施要求</w:t>
      </w:r>
    </w:p>
    <w:p w14:paraId="343C89C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（1）提供的项目实施组织架构； </w:t>
      </w:r>
    </w:p>
    <w:p w14:paraId="117E960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（2）提供详细的项目实施方案和计划进度说明书；</w:t>
      </w:r>
    </w:p>
    <w:p w14:paraId="404D376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（3）提供详细、全面的人员培训计划和实施方案；</w:t>
      </w:r>
    </w:p>
    <w:p w14:paraId="6D52FCC6">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（4）项目实施完成后提供可靠的后期维护工作；中标方在项目期间每周至少来招标方现场1次，电话要保持7*24小时通畅，如遇到特殊情况需提前通知招标方并取得招标方的同意；</w:t>
      </w:r>
    </w:p>
    <w:p w14:paraId="23B82507">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（5）对于招标方的电话咨询和常规服务请求在30分钟内予以答复，紧急服务请求在4小时内到达招标方现场；</w:t>
      </w:r>
    </w:p>
    <w:p w14:paraId="6A71430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（6）严格按照双方确定的计划进度保质保量完成工作；</w:t>
      </w:r>
    </w:p>
    <w:p w14:paraId="16243F7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（7）规范项目实施过程中的文档管理；</w:t>
      </w:r>
    </w:p>
    <w:p w14:paraId="07A3009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（8）项目实施中要引入风险管理、质量管理、成本管理；</w:t>
      </w:r>
    </w:p>
    <w:p w14:paraId="1359495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（9）签署《保密协议》。</w:t>
      </w:r>
    </w:p>
    <w:p w14:paraId="63603F56">
      <w:pPr>
        <w:pStyle w:val="11"/>
        <w:jc w:val="left"/>
        <w:rPr>
          <w:rStyle w:val="20"/>
          <w:rFonts w:hint="eastAsia" w:ascii="仿宋_GB2312" w:hAnsi="仿宋_GB2312" w:eastAsia="仿宋_GB2312" w:cs="仿宋_GB2312"/>
          <w:b w:val="0"/>
          <w:bCs w:val="0"/>
          <w:sz w:val="32"/>
          <w:szCs w:val="32"/>
          <w:lang w:eastAsia="zh-CN"/>
        </w:rPr>
      </w:pPr>
      <w:r>
        <w:rPr>
          <w:rStyle w:val="20"/>
          <w:rFonts w:hint="eastAsia" w:ascii="仿宋_GB2312" w:hAnsi="仿宋_GB2312" w:eastAsia="仿宋_GB2312" w:cs="仿宋_GB2312"/>
          <w:b w:val="0"/>
          <w:bCs w:val="0"/>
          <w:sz w:val="32"/>
          <w:szCs w:val="32"/>
          <w:lang w:val="en-US" w:eastAsia="zh-CN"/>
        </w:rPr>
        <w:t>4</w:t>
      </w:r>
      <w:r>
        <w:rPr>
          <w:rStyle w:val="20"/>
          <w:rFonts w:hint="eastAsia" w:ascii="仿宋_GB2312" w:hAnsi="仿宋_GB2312" w:eastAsia="仿宋_GB2312" w:cs="仿宋_GB2312"/>
          <w:b w:val="0"/>
          <w:bCs w:val="0"/>
          <w:sz w:val="32"/>
          <w:szCs w:val="32"/>
          <w:lang w:eastAsia="zh-CN"/>
        </w:rPr>
        <w:t>.2、测评实施团队要求和等级测评师证书要求</w:t>
      </w:r>
    </w:p>
    <w:p w14:paraId="7E6ABC2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公安部对测评机构管理的规定和要求，测评项目现场实施的人员必须是本机构的持证测评师持证上岗并接受查验，而且测评项目不允许分包或转包，测评师证书及最近三个月社保证明复印件需在投标文件中提供，并加盖公章。中标人一旦出现上述违规情况采购人有权解除合同并追求其法律责任。</w:t>
      </w:r>
    </w:p>
    <w:p w14:paraId="10D1414A">
      <w:pPr>
        <w:pStyle w:val="11"/>
        <w:jc w:val="left"/>
        <w:rPr>
          <w:rStyle w:val="20"/>
          <w:rFonts w:hint="eastAsia" w:ascii="仿宋_GB2312" w:hAnsi="仿宋_GB2312" w:eastAsia="仿宋_GB2312" w:cs="仿宋_GB2312"/>
          <w:b w:val="0"/>
          <w:bCs w:val="0"/>
          <w:sz w:val="32"/>
          <w:szCs w:val="32"/>
          <w:lang w:val="en-US" w:eastAsia="zh-CN"/>
        </w:rPr>
      </w:pPr>
      <w:r>
        <w:rPr>
          <w:rStyle w:val="20"/>
          <w:rFonts w:hint="eastAsia" w:ascii="仿宋_GB2312" w:hAnsi="仿宋_GB2312" w:eastAsia="仿宋_GB2312" w:cs="仿宋_GB2312"/>
          <w:b w:val="0"/>
          <w:bCs w:val="0"/>
          <w:sz w:val="32"/>
          <w:szCs w:val="32"/>
          <w:lang w:val="en-US" w:eastAsia="zh-CN"/>
        </w:rPr>
        <w:t>4.3、项目验收</w:t>
      </w:r>
    </w:p>
    <w:p w14:paraId="318BDB70">
      <w:pPr>
        <w:pStyle w:val="11"/>
        <w:ind w:firstLine="640" w:firstLineChars="200"/>
        <w:jc w:val="left"/>
        <w:rPr>
          <w:rStyle w:val="20"/>
          <w:rFonts w:hint="eastAsia" w:ascii="仿宋_GB2312" w:hAnsi="仿宋_GB2312" w:eastAsia="仿宋_GB2312" w:cs="仿宋_GB2312"/>
          <w:b w:val="0"/>
          <w:bCs w:val="0"/>
          <w:sz w:val="32"/>
          <w:szCs w:val="32"/>
          <w:lang w:val="en-US" w:eastAsia="zh-CN"/>
        </w:rPr>
      </w:pPr>
      <w:r>
        <w:rPr>
          <w:rStyle w:val="20"/>
          <w:rFonts w:hint="eastAsia" w:ascii="仿宋_GB2312" w:hAnsi="仿宋_GB2312" w:eastAsia="仿宋_GB2312" w:cs="仿宋_GB2312"/>
          <w:b w:val="0"/>
          <w:bCs w:val="0"/>
          <w:sz w:val="32"/>
          <w:szCs w:val="32"/>
          <w:lang w:val="en-US" w:eastAsia="zh-CN"/>
        </w:rPr>
        <w:t>投标方必须书面通知业主所完成的工作和准备进行验收的项目种类及验收开始时间，此通知书需经业主认定后方可执行。</w:t>
      </w:r>
    </w:p>
    <w:p w14:paraId="5D6E1FEB">
      <w:pPr>
        <w:pStyle w:val="11"/>
        <w:jc w:val="left"/>
        <w:rPr>
          <w:rStyle w:val="20"/>
          <w:rFonts w:hint="eastAsia" w:ascii="仿宋_GB2312" w:hAnsi="仿宋_GB2312" w:eastAsia="仿宋_GB2312" w:cs="仿宋_GB2312"/>
          <w:b w:val="0"/>
          <w:bCs w:val="0"/>
          <w:sz w:val="32"/>
          <w:szCs w:val="32"/>
          <w:lang w:val="en-US" w:eastAsia="zh-CN"/>
        </w:rPr>
      </w:pPr>
      <w:bookmarkStart w:id="2" w:name="_Toc244418548"/>
      <w:r>
        <w:rPr>
          <w:rStyle w:val="20"/>
          <w:rFonts w:hint="eastAsia" w:ascii="仿宋_GB2312" w:hAnsi="仿宋_GB2312" w:eastAsia="仿宋_GB2312" w:cs="仿宋_GB2312"/>
          <w:b w:val="0"/>
          <w:bCs w:val="0"/>
          <w:sz w:val="32"/>
          <w:szCs w:val="32"/>
          <w:lang w:val="en-US" w:eastAsia="zh-CN"/>
        </w:rPr>
        <w:t>4.4、验收组织</w:t>
      </w:r>
      <w:bookmarkEnd w:id="2"/>
    </w:p>
    <w:p w14:paraId="64CB581B">
      <w:pPr>
        <w:pStyle w:val="11"/>
        <w:ind w:firstLine="640" w:firstLineChars="200"/>
        <w:jc w:val="left"/>
        <w:rPr>
          <w:rStyle w:val="20"/>
          <w:rFonts w:hint="eastAsia" w:ascii="仿宋_GB2312" w:hAnsi="仿宋_GB2312" w:eastAsia="仿宋_GB2312" w:cs="仿宋_GB2312"/>
          <w:b w:val="0"/>
          <w:bCs w:val="0"/>
          <w:sz w:val="32"/>
          <w:szCs w:val="32"/>
          <w:lang w:val="en-US" w:eastAsia="zh-CN"/>
        </w:rPr>
      </w:pPr>
      <w:r>
        <w:rPr>
          <w:rStyle w:val="20"/>
          <w:rFonts w:hint="eastAsia" w:ascii="仿宋_GB2312" w:hAnsi="仿宋_GB2312" w:eastAsia="仿宋_GB2312" w:cs="仿宋_GB2312"/>
          <w:b w:val="0"/>
          <w:bCs w:val="0"/>
          <w:sz w:val="32"/>
          <w:szCs w:val="32"/>
          <w:lang w:val="en-US" w:eastAsia="zh-CN"/>
        </w:rPr>
        <w:t>成立由保亭县人民医院、投标方以及其他有关人员组成的验收小组，负责对项目进行全面的验收。</w:t>
      </w:r>
    </w:p>
    <w:p w14:paraId="67FFE690">
      <w:pPr>
        <w:pStyle w:val="11"/>
        <w:jc w:val="left"/>
        <w:rPr>
          <w:rStyle w:val="20"/>
          <w:rFonts w:hint="eastAsia" w:ascii="仿宋_GB2312" w:hAnsi="仿宋_GB2312" w:eastAsia="仿宋_GB2312" w:cs="仿宋_GB2312"/>
          <w:b w:val="0"/>
          <w:bCs w:val="0"/>
          <w:sz w:val="32"/>
          <w:szCs w:val="32"/>
          <w:lang w:eastAsia="zh-CN"/>
        </w:rPr>
      </w:pPr>
      <w:bookmarkStart w:id="3" w:name="_Toc244418549"/>
      <w:r>
        <w:rPr>
          <w:rStyle w:val="20"/>
          <w:rFonts w:hint="eastAsia" w:ascii="仿宋_GB2312" w:hAnsi="仿宋_GB2312" w:eastAsia="仿宋_GB2312" w:cs="仿宋_GB2312"/>
          <w:b w:val="0"/>
          <w:bCs w:val="0"/>
          <w:sz w:val="32"/>
          <w:szCs w:val="32"/>
          <w:lang w:val="en-US" w:eastAsia="zh-CN"/>
        </w:rPr>
        <w:t>4</w:t>
      </w:r>
      <w:r>
        <w:rPr>
          <w:rStyle w:val="20"/>
          <w:rFonts w:hint="eastAsia" w:ascii="仿宋_GB2312" w:hAnsi="仿宋_GB2312" w:eastAsia="仿宋_GB2312" w:cs="仿宋_GB2312"/>
          <w:b w:val="0"/>
          <w:bCs w:val="0"/>
          <w:sz w:val="32"/>
          <w:szCs w:val="32"/>
          <w:lang w:eastAsia="zh-CN"/>
        </w:rPr>
        <w:t>.5、交付成果及验收标准</w:t>
      </w:r>
      <w:bookmarkEnd w:id="3"/>
    </w:p>
    <w:p w14:paraId="5F3D0B96">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（1）完成了保亭县人民医院</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个信息系统的等级测评工作并提交《网络安全等级保护等级测评报告》；</w:t>
      </w:r>
    </w:p>
    <w:p w14:paraId="43A187F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（2）提交《网络安全整改设计方案》；</w:t>
      </w:r>
    </w:p>
    <w:p w14:paraId="7FD95B6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（3）提交《网络安全应急预案》、《网络安全应急演练总结评估报告》；</w:t>
      </w:r>
    </w:p>
    <w:p w14:paraId="26EA2A22">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（4）提交项目实施阶段中所有的过程文档。</w:t>
      </w:r>
    </w:p>
    <w:p w14:paraId="671A5F80">
      <w:pPr>
        <w:jc w:val="both"/>
        <w:rPr>
          <w:rFonts w:hint="eastAsia" w:ascii="仿宋_GB2312" w:hAnsi="仿宋_GB2312" w:eastAsia="仿宋_GB2312" w:cs="仿宋_GB2312"/>
          <w:sz w:val="32"/>
          <w:szCs w:val="32"/>
          <w:lang w:val="en-US" w:eastAsia="zh-CN"/>
        </w:rPr>
      </w:pPr>
    </w:p>
    <w:sectPr>
      <w:pgSz w:w="11906" w:h="16838"/>
      <w:pgMar w:top="1327" w:right="1519" w:bottom="1270" w:left="151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6A4381-722F-4736-A3C0-0687E3ED70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modern"/>
    <w:pitch w:val="default"/>
    <w:sig w:usb0="00000000" w:usb1="00000000" w:usb2="00000016" w:usb3="00000000" w:csb0="00040001" w:csb1="00000000"/>
  </w:font>
  <w:font w:name="仿宋_GB2312">
    <w:panose1 w:val="02010609030101010101"/>
    <w:charset w:val="86"/>
    <w:family w:val="decorative"/>
    <w:pitch w:val="default"/>
    <w:sig w:usb0="00000001" w:usb1="080E0000" w:usb2="00000000" w:usb3="00000000" w:csb0="00040000" w:csb1="00000000"/>
    <w:embedRegular r:id="rId2" w:fontKey="{0DEA9947-3C2E-4BF6-8D20-604594D68608}"/>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embedRegular r:id="rId3" w:fontKey="{79BB0C7D-0BBB-4D4C-A0AF-21FD766B944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4"/>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353A89"/>
    <w:rsid w:val="028E4732"/>
    <w:rsid w:val="02C92423"/>
    <w:rsid w:val="03265180"/>
    <w:rsid w:val="036D7252"/>
    <w:rsid w:val="03742054"/>
    <w:rsid w:val="04583A5F"/>
    <w:rsid w:val="04826D2E"/>
    <w:rsid w:val="0494259D"/>
    <w:rsid w:val="04BD7D66"/>
    <w:rsid w:val="0512007B"/>
    <w:rsid w:val="05340028"/>
    <w:rsid w:val="055D1B3F"/>
    <w:rsid w:val="05AF01F7"/>
    <w:rsid w:val="05BA6F95"/>
    <w:rsid w:val="06053772"/>
    <w:rsid w:val="061E5687"/>
    <w:rsid w:val="072658B5"/>
    <w:rsid w:val="07545271"/>
    <w:rsid w:val="07EC569D"/>
    <w:rsid w:val="07FD356E"/>
    <w:rsid w:val="08055CAB"/>
    <w:rsid w:val="08AC1E9F"/>
    <w:rsid w:val="091D2944"/>
    <w:rsid w:val="094B74DC"/>
    <w:rsid w:val="09E8472B"/>
    <w:rsid w:val="0AF81AF7"/>
    <w:rsid w:val="0BAC4FF7"/>
    <w:rsid w:val="0BC53CE2"/>
    <w:rsid w:val="0C4274CE"/>
    <w:rsid w:val="0D166265"/>
    <w:rsid w:val="0D3C0F87"/>
    <w:rsid w:val="0D5D3E94"/>
    <w:rsid w:val="0E2F75DE"/>
    <w:rsid w:val="0E3E1F17"/>
    <w:rsid w:val="0E6A4ABA"/>
    <w:rsid w:val="0EE54565"/>
    <w:rsid w:val="0F2844BF"/>
    <w:rsid w:val="0FED14FF"/>
    <w:rsid w:val="112260EC"/>
    <w:rsid w:val="126F08F1"/>
    <w:rsid w:val="12C0739F"/>
    <w:rsid w:val="13315BA7"/>
    <w:rsid w:val="13685340"/>
    <w:rsid w:val="139B5716"/>
    <w:rsid w:val="1525173B"/>
    <w:rsid w:val="15273705"/>
    <w:rsid w:val="152754B3"/>
    <w:rsid w:val="158900E3"/>
    <w:rsid w:val="15E62031"/>
    <w:rsid w:val="164F4B0E"/>
    <w:rsid w:val="168626AD"/>
    <w:rsid w:val="172609C6"/>
    <w:rsid w:val="172F4AF3"/>
    <w:rsid w:val="17CC7129"/>
    <w:rsid w:val="180A4C18"/>
    <w:rsid w:val="18C33745"/>
    <w:rsid w:val="19120228"/>
    <w:rsid w:val="1A004716"/>
    <w:rsid w:val="1A3E5162"/>
    <w:rsid w:val="1A7D3DC7"/>
    <w:rsid w:val="1ACA360D"/>
    <w:rsid w:val="1ADC0AEE"/>
    <w:rsid w:val="1B1A7868"/>
    <w:rsid w:val="1BD96714"/>
    <w:rsid w:val="1C890801"/>
    <w:rsid w:val="1CF77E61"/>
    <w:rsid w:val="1D2624F4"/>
    <w:rsid w:val="1F004D2E"/>
    <w:rsid w:val="1F453D1E"/>
    <w:rsid w:val="1F59095F"/>
    <w:rsid w:val="1F86727A"/>
    <w:rsid w:val="1FE53BC7"/>
    <w:rsid w:val="207E61A3"/>
    <w:rsid w:val="21ED538F"/>
    <w:rsid w:val="22507B57"/>
    <w:rsid w:val="22B20386"/>
    <w:rsid w:val="22C5630B"/>
    <w:rsid w:val="23733FB9"/>
    <w:rsid w:val="23955CDE"/>
    <w:rsid w:val="23B92805"/>
    <w:rsid w:val="23BC5F62"/>
    <w:rsid w:val="244B45EE"/>
    <w:rsid w:val="251946ED"/>
    <w:rsid w:val="253F4091"/>
    <w:rsid w:val="259049AF"/>
    <w:rsid w:val="25BA5ED0"/>
    <w:rsid w:val="275B0A3D"/>
    <w:rsid w:val="27A6495D"/>
    <w:rsid w:val="28602A2B"/>
    <w:rsid w:val="28BA1D43"/>
    <w:rsid w:val="28E13773"/>
    <w:rsid w:val="29244625"/>
    <w:rsid w:val="294A1318"/>
    <w:rsid w:val="29CE79AB"/>
    <w:rsid w:val="2B1C6CE5"/>
    <w:rsid w:val="2B6A0C72"/>
    <w:rsid w:val="2BDF043E"/>
    <w:rsid w:val="2C525535"/>
    <w:rsid w:val="2ED50E10"/>
    <w:rsid w:val="2F683E67"/>
    <w:rsid w:val="302C533B"/>
    <w:rsid w:val="31CF5C1D"/>
    <w:rsid w:val="31E4154A"/>
    <w:rsid w:val="31F041C4"/>
    <w:rsid w:val="32543208"/>
    <w:rsid w:val="32EC527D"/>
    <w:rsid w:val="33B54E5D"/>
    <w:rsid w:val="33D8341D"/>
    <w:rsid w:val="33F22CD8"/>
    <w:rsid w:val="34A749EE"/>
    <w:rsid w:val="35A25C9B"/>
    <w:rsid w:val="35E5565D"/>
    <w:rsid w:val="361A4FED"/>
    <w:rsid w:val="36CE17DB"/>
    <w:rsid w:val="370D205E"/>
    <w:rsid w:val="373C112C"/>
    <w:rsid w:val="37B4019C"/>
    <w:rsid w:val="37CA74F9"/>
    <w:rsid w:val="37CD3840"/>
    <w:rsid w:val="37F94635"/>
    <w:rsid w:val="383E473E"/>
    <w:rsid w:val="38C22AC9"/>
    <w:rsid w:val="392842AB"/>
    <w:rsid w:val="39405911"/>
    <w:rsid w:val="397D1296"/>
    <w:rsid w:val="39D52E80"/>
    <w:rsid w:val="3A856654"/>
    <w:rsid w:val="3B2B5D12"/>
    <w:rsid w:val="3B5D4EDB"/>
    <w:rsid w:val="3B702E61"/>
    <w:rsid w:val="3B8B1A48"/>
    <w:rsid w:val="3B914B85"/>
    <w:rsid w:val="3BE86E9B"/>
    <w:rsid w:val="3C14010A"/>
    <w:rsid w:val="3CCD6091"/>
    <w:rsid w:val="3CD2476A"/>
    <w:rsid w:val="3CE602E9"/>
    <w:rsid w:val="3D0575D8"/>
    <w:rsid w:val="3D0D2931"/>
    <w:rsid w:val="3DF56C47"/>
    <w:rsid w:val="3E104487"/>
    <w:rsid w:val="3EA64DEB"/>
    <w:rsid w:val="3EE85404"/>
    <w:rsid w:val="3F0F7DFC"/>
    <w:rsid w:val="3F8213B4"/>
    <w:rsid w:val="401144E6"/>
    <w:rsid w:val="40552625"/>
    <w:rsid w:val="405D597D"/>
    <w:rsid w:val="40F472A0"/>
    <w:rsid w:val="412070D7"/>
    <w:rsid w:val="4246496D"/>
    <w:rsid w:val="42902152"/>
    <w:rsid w:val="43413334"/>
    <w:rsid w:val="44A1408B"/>
    <w:rsid w:val="44DF49AB"/>
    <w:rsid w:val="452B604A"/>
    <w:rsid w:val="458B0897"/>
    <w:rsid w:val="461070BE"/>
    <w:rsid w:val="46787B82"/>
    <w:rsid w:val="46D52711"/>
    <w:rsid w:val="474D04FA"/>
    <w:rsid w:val="47B02837"/>
    <w:rsid w:val="48C61172"/>
    <w:rsid w:val="48C77E38"/>
    <w:rsid w:val="48CB5B7A"/>
    <w:rsid w:val="48F5212B"/>
    <w:rsid w:val="497418F4"/>
    <w:rsid w:val="49865F45"/>
    <w:rsid w:val="49A62143"/>
    <w:rsid w:val="4A203CA4"/>
    <w:rsid w:val="4ABA5EA6"/>
    <w:rsid w:val="4AC40AD3"/>
    <w:rsid w:val="4B313C8F"/>
    <w:rsid w:val="4B6B0F4E"/>
    <w:rsid w:val="4B9B38DE"/>
    <w:rsid w:val="4C755B57"/>
    <w:rsid w:val="4CF11927"/>
    <w:rsid w:val="4DCD4142"/>
    <w:rsid w:val="4DDA7F7C"/>
    <w:rsid w:val="4E600B13"/>
    <w:rsid w:val="4E712D20"/>
    <w:rsid w:val="4EEB31C1"/>
    <w:rsid w:val="4FCB5FB2"/>
    <w:rsid w:val="500B0F52"/>
    <w:rsid w:val="505E72D4"/>
    <w:rsid w:val="50C03AEB"/>
    <w:rsid w:val="516E1798"/>
    <w:rsid w:val="51A67184"/>
    <w:rsid w:val="522D51B0"/>
    <w:rsid w:val="528F202D"/>
    <w:rsid w:val="52A25112"/>
    <w:rsid w:val="53034162"/>
    <w:rsid w:val="53C35F41"/>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C6774D0"/>
    <w:rsid w:val="5CF54B1C"/>
    <w:rsid w:val="5D3F223B"/>
    <w:rsid w:val="5D4E06D0"/>
    <w:rsid w:val="5DEF58DB"/>
    <w:rsid w:val="5E316028"/>
    <w:rsid w:val="5F155949"/>
    <w:rsid w:val="5FB24F46"/>
    <w:rsid w:val="5FF4555F"/>
    <w:rsid w:val="5FFB4B3F"/>
    <w:rsid w:val="60B60A66"/>
    <w:rsid w:val="6179520E"/>
    <w:rsid w:val="618172C6"/>
    <w:rsid w:val="61C77F4D"/>
    <w:rsid w:val="61ED04B8"/>
    <w:rsid w:val="626764BC"/>
    <w:rsid w:val="630A2F55"/>
    <w:rsid w:val="63BF259E"/>
    <w:rsid w:val="63E1229E"/>
    <w:rsid w:val="64D67BCE"/>
    <w:rsid w:val="64F71BE5"/>
    <w:rsid w:val="64F8164D"/>
    <w:rsid w:val="64F8789F"/>
    <w:rsid w:val="651E4E2C"/>
    <w:rsid w:val="65551782"/>
    <w:rsid w:val="658729D1"/>
    <w:rsid w:val="65C14135"/>
    <w:rsid w:val="65CC59A3"/>
    <w:rsid w:val="65EA02AB"/>
    <w:rsid w:val="66027411"/>
    <w:rsid w:val="66466D22"/>
    <w:rsid w:val="67044388"/>
    <w:rsid w:val="67561CA9"/>
    <w:rsid w:val="675E0EE9"/>
    <w:rsid w:val="68262EB8"/>
    <w:rsid w:val="689D3399"/>
    <w:rsid w:val="692D1AE1"/>
    <w:rsid w:val="694F1A58"/>
    <w:rsid w:val="69A26810"/>
    <w:rsid w:val="6AA336F8"/>
    <w:rsid w:val="6AB159AD"/>
    <w:rsid w:val="6AE54422"/>
    <w:rsid w:val="6B5C220A"/>
    <w:rsid w:val="6BB65DBE"/>
    <w:rsid w:val="6C0B435C"/>
    <w:rsid w:val="6C4433CA"/>
    <w:rsid w:val="6C692E30"/>
    <w:rsid w:val="6CD93A34"/>
    <w:rsid w:val="6E6B7334"/>
    <w:rsid w:val="6E9F0D8B"/>
    <w:rsid w:val="6EB32A89"/>
    <w:rsid w:val="6EC627BC"/>
    <w:rsid w:val="6EC66318"/>
    <w:rsid w:val="6FEA24DA"/>
    <w:rsid w:val="71CE58C0"/>
    <w:rsid w:val="721C2EA3"/>
    <w:rsid w:val="72431B05"/>
    <w:rsid w:val="738844E4"/>
    <w:rsid w:val="73A3131E"/>
    <w:rsid w:val="73FC458A"/>
    <w:rsid w:val="740C62FA"/>
    <w:rsid w:val="74566390"/>
    <w:rsid w:val="74D5034D"/>
    <w:rsid w:val="758938E4"/>
    <w:rsid w:val="75E1612D"/>
    <w:rsid w:val="773D3837"/>
    <w:rsid w:val="77B80B76"/>
    <w:rsid w:val="783224F8"/>
    <w:rsid w:val="79020895"/>
    <w:rsid w:val="7AB827A3"/>
    <w:rsid w:val="7AD1051F"/>
    <w:rsid w:val="7BAC2D3A"/>
    <w:rsid w:val="7BC65BA9"/>
    <w:rsid w:val="7BF70459"/>
    <w:rsid w:val="7C211BE0"/>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pPr>
      <w:widowControl/>
      <w:jc w:val="left"/>
    </w:pPr>
    <w:rPr>
      <w:rFonts w:ascii="Times New Roman" w:hAnsi="Times New Roman" w:eastAsia="宋体" w:cs="Times New Roman"/>
      <w:kern w:val="0"/>
    </w:rPr>
  </w:style>
  <w:style w:type="paragraph" w:styleId="7">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8">
    <w:name w:val="Body Text Indent"/>
    <w:basedOn w:val="1"/>
    <w:next w:val="9"/>
    <w:unhideWhenUsed/>
    <w:qFormat/>
    <w:uiPriority w:val="0"/>
    <w:pPr>
      <w:spacing w:after="120" w:afterLines="0" w:line="360" w:lineRule="auto"/>
      <w:ind w:left="420" w:leftChars="200" w:firstLine="560" w:firstLineChars="200"/>
    </w:pPr>
    <w:rPr>
      <w:rFonts w:ascii="FangSong_GB2312" w:hAnsi="Calibri" w:eastAsia="FangSong_GB2312"/>
      <w:sz w:val="28"/>
      <w:szCs w:val="28"/>
    </w:rPr>
  </w:style>
  <w:style w:type="paragraph" w:styleId="9">
    <w:name w:val="envelope return"/>
    <w:basedOn w:val="1"/>
    <w:qFormat/>
    <w:uiPriority w:val="0"/>
    <w:pPr>
      <w:snapToGrid w:val="0"/>
    </w:pPr>
    <w:rPr>
      <w:rFonts w:ascii="Arial" w:hAnsi="Arial"/>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2">
    <w:name w:val="toc 6"/>
    <w:next w:val="1"/>
    <w:autoRedefine/>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13">
    <w:name w:val="Normal (Web)"/>
    <w:basedOn w:val="1"/>
    <w:autoRedefine/>
    <w:qFormat/>
    <w:uiPriority w:val="0"/>
    <w:rPr>
      <w:sz w:val="24"/>
    </w:rPr>
  </w:style>
  <w:style w:type="paragraph" w:styleId="14">
    <w:name w:val="Title"/>
    <w:basedOn w:val="1"/>
    <w:next w:val="1"/>
    <w:qFormat/>
    <w:uiPriority w:val="10"/>
    <w:pPr>
      <w:spacing w:before="240" w:after="60"/>
      <w:jc w:val="center"/>
      <w:outlineLvl w:val="0"/>
    </w:pPr>
    <w:rPr>
      <w:rFonts w:ascii="Cambria" w:hAnsi="Cambria"/>
      <w:b/>
      <w:bCs/>
      <w:sz w:val="32"/>
      <w:szCs w:val="32"/>
    </w:rPr>
  </w:style>
  <w:style w:type="paragraph" w:styleId="15">
    <w:name w:val="Body Text First Indent"/>
    <w:basedOn w:val="6"/>
    <w:autoRedefine/>
    <w:unhideWhenUsed/>
    <w:qFormat/>
    <w:uiPriority w:val="99"/>
    <w:pPr>
      <w:ind w:firstLine="420" w:firstLineChars="100"/>
    </w:pPr>
  </w:style>
  <w:style w:type="paragraph" w:styleId="16">
    <w:name w:val="Body Text First Indent 2"/>
    <w:basedOn w:val="8"/>
    <w:qFormat/>
    <w:uiPriority w:val="0"/>
    <w:pPr>
      <w:spacing w:line="360" w:lineRule="auto"/>
      <w:ind w:firstLine="560" w:firstLineChars="200"/>
      <w:outlineLvl w:val="0"/>
    </w:pPr>
    <w:rPr>
      <w:rFonts w:ascii="FangSong_GB2312" w:hAnsi="华文仿宋" w:eastAsia="FangSong_GB2312"/>
      <w:snapToGrid w:val="0"/>
      <w:color w:val="0000FF"/>
      <w:sz w:val="28"/>
      <w:szCs w:val="28"/>
      <w:u w:val="single"/>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ascii="Verdana" w:hAnsi="Verdana" w:cs="Verdana"/>
      <w:b/>
      <w:bCs/>
      <w:szCs w:val="21"/>
      <w:lang w:eastAsia="en-US"/>
    </w:rPr>
  </w:style>
  <w:style w:type="character" w:customStyle="1" w:styleId="21">
    <w:name w:val="font51"/>
    <w:basedOn w:val="19"/>
    <w:autoRedefine/>
    <w:qFormat/>
    <w:uiPriority w:val="0"/>
    <w:rPr>
      <w:rFonts w:hint="default" w:ascii="Times New Roman" w:hAnsi="Times New Roman" w:cs="Times New Roman"/>
      <w:color w:val="000000"/>
      <w:sz w:val="20"/>
      <w:szCs w:val="20"/>
      <w:u w:val="none"/>
    </w:rPr>
  </w:style>
  <w:style w:type="paragraph" w:customStyle="1" w:styleId="22">
    <w:name w:val="p0"/>
    <w:basedOn w:val="1"/>
    <w:autoRedefine/>
    <w:qFormat/>
    <w:uiPriority w:val="0"/>
    <w:rPr>
      <w:rFonts w:ascii="Times New Roman" w:hAnsi="Times New Roman" w:eastAsia="宋体" w:cs="Times New Roman"/>
      <w:szCs w:val="21"/>
    </w:rPr>
  </w:style>
  <w:style w:type="paragraph" w:customStyle="1" w:styleId="23">
    <w:name w:val="p16"/>
    <w:basedOn w:val="1"/>
    <w:autoRedefine/>
    <w:qFormat/>
    <w:uiPriority w:val="0"/>
    <w:rPr>
      <w:rFonts w:ascii="Times New Roman" w:hAnsi="Times New Roman" w:eastAsia="宋体" w:cs="Times New Roman"/>
      <w:szCs w:val="21"/>
    </w:rPr>
  </w:style>
  <w:style w:type="paragraph" w:customStyle="1" w:styleId="24">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25">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6">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7">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28">
    <w:name w:val="font01"/>
    <w:basedOn w:val="19"/>
    <w:autoRedefine/>
    <w:qFormat/>
    <w:uiPriority w:val="0"/>
    <w:rPr>
      <w:rFonts w:hint="eastAsia" w:ascii="宋体" w:hAnsi="宋体" w:eastAsia="宋体" w:cs="宋体"/>
      <w:color w:val="000000"/>
      <w:sz w:val="22"/>
      <w:szCs w:val="22"/>
      <w:u w:val="none"/>
    </w:rPr>
  </w:style>
  <w:style w:type="character" w:customStyle="1" w:styleId="29">
    <w:name w:val="font61"/>
    <w:basedOn w:val="19"/>
    <w:autoRedefine/>
    <w:qFormat/>
    <w:uiPriority w:val="0"/>
    <w:rPr>
      <w:rFonts w:hint="eastAsia" w:ascii="宋体" w:hAnsi="宋体" w:eastAsia="宋体" w:cs="宋体"/>
      <w:color w:val="000000"/>
      <w:sz w:val="20"/>
      <w:szCs w:val="20"/>
      <w:u w:val="none"/>
    </w:rPr>
  </w:style>
  <w:style w:type="paragraph" w:customStyle="1" w:styleId="30">
    <w:name w:val="列表段落1"/>
    <w:basedOn w:val="1"/>
    <w:autoRedefine/>
    <w:qFormat/>
    <w:uiPriority w:val="34"/>
    <w:pPr>
      <w:ind w:firstLine="420" w:firstLineChars="200"/>
    </w:pPr>
  </w:style>
  <w:style w:type="paragraph" w:customStyle="1" w:styleId="3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2">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33">
    <w:name w:val="标题 1 Char1"/>
    <w:autoRedefine/>
    <w:qFormat/>
    <w:uiPriority w:val="0"/>
    <w:rPr>
      <w:rFonts w:ascii="Times New Roman" w:hAnsi="Times New Roman" w:eastAsia="宋体" w:cs="Times New Roman"/>
      <w:b/>
      <w:bCs/>
      <w:kern w:val="44"/>
      <w:sz w:val="32"/>
      <w:szCs w:val="44"/>
    </w:rPr>
  </w:style>
  <w:style w:type="table" w:customStyle="1" w:styleId="34">
    <w:name w:val="表"/>
    <w:basedOn w:val="17"/>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35">
    <w:name w:val="04-正文"/>
    <w:basedOn w:val="1"/>
    <w:autoRedefine/>
    <w:qFormat/>
    <w:uiPriority w:val="0"/>
    <w:pPr>
      <w:widowControl w:val="0"/>
      <w:ind w:firstLine="482" w:firstLineChars="0"/>
      <w:jc w:val="both"/>
    </w:pPr>
    <w:rPr>
      <w:rFonts w:cstheme="minorBidi"/>
      <w:szCs w:val="22"/>
    </w:rPr>
  </w:style>
  <w:style w:type="paragraph" w:customStyle="1" w:styleId="36">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7">
    <w:name w:val="font11"/>
    <w:basedOn w:val="19"/>
    <w:autoRedefine/>
    <w:qFormat/>
    <w:uiPriority w:val="0"/>
    <w:rPr>
      <w:rFonts w:hint="eastAsia" w:ascii="微软雅黑" w:hAnsi="微软雅黑" w:eastAsia="微软雅黑" w:cs="微软雅黑"/>
      <w:color w:val="000000"/>
      <w:sz w:val="24"/>
      <w:szCs w:val="24"/>
      <w:u w:val="none"/>
    </w:rPr>
  </w:style>
  <w:style w:type="paragraph" w:customStyle="1" w:styleId="38">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39">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Z-正文小4号"/>
    <w:basedOn w:val="1"/>
    <w:qFormat/>
    <w:uiPriority w:val="0"/>
    <w:pPr>
      <w:spacing w:line="360" w:lineRule="auto"/>
      <w:ind w:firstLine="480" w:firstLineChars="200"/>
    </w:pPr>
    <w:rPr>
      <w:rFonts w:ascii="宋体" w:hAnsi="宋体"/>
      <w:sz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1799</Words>
  <Characters>1845</Characters>
  <Lines>0</Lines>
  <Paragraphs>0</Paragraphs>
  <TotalTime>2</TotalTime>
  <ScaleCrop>false</ScaleCrop>
  <LinksUpToDate>false</LinksUpToDate>
  <CharactersWithSpaces>1856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cp:lastPrinted>2025-05-21T01:33:00Z</cp:lastPrinted>
  <dcterms:modified xsi:type="dcterms:W3CDTF">2025-07-30T06:52:14Z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