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B085B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4DA27BD0">
      <w:pPr>
        <w:rPr>
          <w:rFonts w:hint="eastAsia"/>
          <w:lang w:val="en-US" w:eastAsia="zh-CN"/>
        </w:rPr>
      </w:pP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6F1DBEF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保亭县医疗集团云胶片采购项目报价清单</w:t>
      </w:r>
    </w:p>
    <w:p w14:paraId="50B7038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7368CA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一、云胶片的产品形态</w:t>
      </w:r>
    </w:p>
    <w:p w14:paraId="5F55FF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、不关注公众号的情况下查看云胶片资料，患者可以通过通知短信链接获取云胶片信息。报告完成之后，患者会收到检查报告完成的短信通知，短信内容提供患者查看影像和检查报告的链接地址，患者可以通过点击链接弹出保密告知 </w:t>
      </w:r>
    </w:p>
    <w:p w14:paraId="1A4AF6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书确认同意后查看自己的影像和报告。 </w:t>
      </w:r>
    </w:p>
    <w:p w14:paraId="7A868E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2、医生需要在患者分享授权的情况下查看患者影像及报告，影像的常规处理和三维处理等高级处理都在云端计算实现，医生/患者通过手机和pc看到的是影像数据在云端处理完成之后的图片流信息，不存在原始 dicom 数据的下载和泄露。医生只能在患者授权的有效期内，通过手机和 pc 查看患者的影像和报告。 </w:t>
      </w:r>
    </w:p>
    <w:p w14:paraId="0AE2A5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3、患者通过关注医院微信公众号，可以同时绑定多个用户，完成以家庭为单位的个人影像建档。在患者已经关注公众号的情况下，可以通过公众号的消息 </w:t>
      </w:r>
    </w:p>
    <w:p w14:paraId="5CBB5B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推送弹出保密告知书确认同意后查看自己的影像和报告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07BD914A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textAlignment w:val="auto"/>
        <w:rPr>
          <w:rStyle w:val="1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二、云胶片数字影像系统功能模块</w:t>
      </w:r>
    </w:p>
    <w:p w14:paraId="6AFABB97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Toc12182"/>
      <w:bookmarkStart w:id="1" w:name="_Toc22194"/>
      <w:bookmarkStart w:id="2" w:name="_Toc29000"/>
      <w:bookmarkStart w:id="3" w:name="_Toc14164"/>
      <w:bookmarkStart w:id="4" w:name="_Toc27499"/>
      <w:bookmarkStart w:id="5" w:name="_Toc522652170"/>
      <w:bookmarkStart w:id="6" w:name="_Toc51318233"/>
      <w:bookmarkStart w:id="7" w:name="_Toc14437"/>
      <w:bookmarkStart w:id="8" w:name="_Toc11615"/>
      <w:bookmarkStart w:id="9" w:name="_Toc15919"/>
      <w:bookmarkStart w:id="10" w:name="_Toc532564605"/>
      <w:bookmarkStart w:id="11" w:name="_Toc717"/>
      <w:bookmarkStart w:id="12" w:name="_Toc11674"/>
      <w:bookmarkStart w:id="13" w:name="_Toc1553"/>
      <w:bookmarkStart w:id="14" w:name="_Toc22092_WPSOffice_Level2"/>
      <w:bookmarkStart w:id="15" w:name="_Toc6072_WPSOffice_Level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1、医学影像数据共享查询中心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3E6A8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基于云存储和云技术，实现影像信息的互通、共享，从而实现影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像的移动诊断、在线调阅、统一管理，为医生专家、患者用户提供方便。</w:t>
      </w:r>
    </w:p>
    <w:p w14:paraId="77B108AD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患者数字影像服务中心</w:t>
      </w:r>
    </w:p>
    <w:p w14:paraId="49D3F74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患者检查后，可通过微信公众号、或者附有二维码的报告单及短信链接（可选），患者通过公众号或微信报告小程序、扫描二维码、点击短信链接等方式即可查看全序列的DICOM原始拍片数据。</w:t>
      </w:r>
    </w:p>
    <w:p w14:paraId="78D06B5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</w:p>
    <w:tbl>
      <w:tblPr>
        <w:tblStyle w:val="8"/>
        <w:tblW w:w="9776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1559"/>
        <w:gridCol w:w="4369"/>
        <w:gridCol w:w="1199"/>
        <w:gridCol w:w="1211"/>
      </w:tblGrid>
      <w:tr w14:paraId="11DA32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AC4AAA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系统产品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3603E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子模块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75D280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功能点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B533D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A03230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672A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CDC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医学影像数据共享查询中心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1161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影像采集前置系统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97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医院PACS/RIS系统（放射设备）对接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CCE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E3D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B0D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5B1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8CDA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92BF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应用网关、传输路由控制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A942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AD7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9EC256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D09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F7D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81E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数据加密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6D46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CB2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60425D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312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CA6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74F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数据压缩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65DD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171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D63A5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8EA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2553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影像云存储及归档系统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2A8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影像数据加密、压缩传输，支持断点续传、完整性校验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864E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875D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807A9A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5185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82044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1BAF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根据影像相关信息，在云端自动归档存储影像数据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F00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A7E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3CF2E5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893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17E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2D78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实体影像文件存储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BFE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0A5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856C1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8F29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F91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影像云管家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7C6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查阅本人影像和向他人和机构分享影像，</w:t>
            </w:r>
          </w:p>
          <w:p w14:paraId="2A7132B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查询影像分享记录。对个人存储的影像数据进行分享、统计、管理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0C70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36A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21F710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D78C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2DA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033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提供专业的影像View工具，支持PC及移动端调阅及后处理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0AF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5B5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041390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1AA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9FA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患者影像资料查询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5B90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按检查时间维度查询患者影像数据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95E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CEBC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92D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F5E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8836C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775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按检查类型维度查询患者影像数据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C213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974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4BCCC6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D09ED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AF6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26A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按就诊类型维度查询患者影像数据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A9B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E28B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6CE3BF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0C4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30DE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6FF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按就诊医院维度查询患者影像数据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DA5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182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60BD6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FD01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C1C4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479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按申请医生维度查询患者影像数据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7577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AC7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90A7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1F4A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7946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C45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按报告医生维度查询患者影像数据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342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DA0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8FAE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75E8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4B84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患者检查视图查询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BA5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按检查类型维度查询患者病历信息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B86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509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13D80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D93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B93B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C4E0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检验报告查询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DA39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EA4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0C6268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B72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7ED4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44D4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影像报告查询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BEA85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19CD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738049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5E38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影像云存储及归档系统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AABF1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影像上传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B40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支持个人用户原始DICOM格式影像上传云端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145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B8F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1EDEE9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7C12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9CFF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022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支持机构用户原始DICOM格式影像上传云端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A30E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199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4C0D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B6ED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4706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影像归档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5E5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根据用户身份信息，在云端自动归档存储影像数据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D970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FBA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5E9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D56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9E55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影像获取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0FF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通过身份认证后，查询、获取在检查机构的原始影像文件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07F4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0D1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5642A7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EB43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90F8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影像分享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FDB9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向他人或机构分享影像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1F7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D21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71E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9F8C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BE0F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E8A6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查询他人分享的影像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D2A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78B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80E7B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A3A9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50B9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1FD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分享记录查询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32E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12EB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56A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9992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8DB9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影像查询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936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个人或机构影像查询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D603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E0B1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4B711D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CF8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6" w:name="_Toc522652175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患者数字影像服务中心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033B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二维码报告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44F7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生成二维码报告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AB68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111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0CD3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FF20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3EC7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电子影像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0FF2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与原始影像匹配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9D5A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9E5F">
            <w:pPr>
              <w:widowControl/>
              <w:spacing w:after="78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64C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6FB6">
            <w:pPr>
              <w:widowControl/>
              <w:spacing w:after="78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AAE9">
            <w:pPr>
              <w:widowControl/>
              <w:spacing w:after="78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DBA7CF">
            <w:pPr>
              <w:widowControl/>
              <w:spacing w:after="78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                        小写：</w:t>
            </w:r>
          </w:p>
          <w:p w14:paraId="12DA0054">
            <w:pPr>
              <w:widowControl/>
              <w:spacing w:after="78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16"/>
    </w:tbl>
    <w:p w14:paraId="03CE499E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以上报价含税及包含产品质保期内服务过程中可能产生的其他费用。</w:t>
      </w:r>
    </w:p>
    <w:p w14:paraId="4FF16A89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FFD690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71C4B83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身份证号：                              </w:t>
      </w:r>
    </w:p>
    <w:p w14:paraId="0D85B24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9ADBD1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日    期：2025年  月    日</w:t>
      </w:r>
    </w:p>
    <w:p w14:paraId="11C9D546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left"/>
        <w:textAlignment w:val="auto"/>
        <w:rPr>
          <w:rStyle w:val="12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三、商务合作模式</w:t>
      </w:r>
    </w:p>
    <w:p w14:paraId="6A4160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服务费参照标准</w:t>
      </w:r>
    </w:p>
    <w:p w14:paraId="435B87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由技术方全额出资，院方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在项目验收后，无需支付任何数字影像建设费用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接口费用及硬软件费用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9529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项目建设完成后，院方可获得收益</w:t>
      </w:r>
      <w:r>
        <w:rPr>
          <w:rFonts w:hint="eastAsia" w:ascii="仿宋_GB2312" w:hAnsi="仿宋_GB2312" w:eastAsia="仿宋_GB2312" w:cs="仿宋_GB2312"/>
          <w:sz w:val="32"/>
          <w:szCs w:val="32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影像检查项目数据量*5元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/人次，技术方按报价比例获取分成（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根据海南省医保局出台的数字影像实际定价为准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如医保局调整价格则按原定比例确定新的分成价格，或双方重新进行协商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47758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服务内容</w:t>
      </w:r>
    </w:p>
    <w:p w14:paraId="12DAA2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提供云存储、数字影像服务、远程诊断及会诊、影像质控等服务，合作期限5年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可视合作情况续签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1FD5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云胶片3个月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热数据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可即时调用，3个月前的冷数据解冻时间≤1小时。门诊影像数据云存储期限15年；住院影像数据云存储期限30年。</w:t>
      </w:r>
    </w:p>
    <w:p w14:paraId="4376AF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提供短信通知及链接、医院微信公众号、纸质报告单二维码等多种集成方式。调阅影像数据需要患者本人事先授权，充分保障患者隐私。</w:t>
      </w:r>
    </w:p>
    <w:p w14:paraId="50E0E6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提供一台满足工作需求的前置主机和100M以上带宽的专线，保障DR影像数据调阅速度小于3秒，CT/MR影像数据调阅速度小于30秒。</w:t>
      </w:r>
    </w:p>
    <w:p w14:paraId="19D6B4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图像质量以原系统上存储的质量为基准，在云胶片传输、迁移数据过程中不得损失、降低原有的图像分辨率。</w:t>
      </w:r>
    </w:p>
    <w:p w14:paraId="0697DE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付款方式</w:t>
      </w:r>
    </w:p>
    <w:p w14:paraId="0218A6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在5年的合作期限内，付费方式为：每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计费一次，以系统后台影像云储存数量作为结算依据出具计费清单（经医院核实）核算医院上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应付价款。</w:t>
      </w:r>
    </w:p>
    <w:p w14:paraId="773F2D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备注：病人当天无论做了CT、MR、DR等多种检查，还是做了多个部位的检查，均按一人收费。</w:t>
      </w:r>
    </w:p>
    <w:p w14:paraId="03A8DB1C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5CC736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672871F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20ED3AE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04112DB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0D60AF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D55F14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946D494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C825662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0F5C28F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1A4B9E5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BE6B4BF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215D63D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7746489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01E719E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5A3BAFA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DDD0E7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0E9B0E9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5D8A4E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391574A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B04617C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17" w:name="_Toc171325099"/>
    </w:p>
    <w:bookmarkEnd w:id="17"/>
    <w:p w14:paraId="4F7DB625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</w:p>
    <w:p w14:paraId="413E3BAB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保亭县医疗集团云胶片</w:t>
      </w:r>
      <w:r>
        <w:rPr>
          <w:rFonts w:hint="eastAsia"/>
          <w:b/>
          <w:bCs/>
          <w:sz w:val="40"/>
          <w:szCs w:val="36"/>
          <w:lang w:eastAsia="zh-CN"/>
        </w:rPr>
        <w:t>采购报价表</w:t>
      </w:r>
    </w:p>
    <w:p w14:paraId="51FD00FC"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保亭县医疗集团云胶片采购项目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项目编号：BYCG-2025-0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07</w:t>
      </w:r>
    </w:p>
    <w:tbl>
      <w:tblPr>
        <w:tblStyle w:val="9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3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3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3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5年（以实际协议为准）</w:t>
            </w:r>
          </w:p>
        </w:tc>
      </w:tr>
    </w:tbl>
    <w:p w14:paraId="636AA74B">
      <w:pPr>
        <w:pStyle w:val="3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439443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F7C937B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日期：2025年  月  日</w:t>
      </w:r>
    </w:p>
    <w:p w14:paraId="0F89073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/>
          <w:lang w:eastAsia="zh-CN"/>
        </w:rPr>
      </w:pPr>
      <w:bookmarkStart w:id="18" w:name="_Toc146709127"/>
      <w:r>
        <w:rPr>
          <w:rFonts w:ascii="仿宋" w:hAnsi="仿宋" w:eastAsia="仿宋" w:cs="仿宋"/>
          <w:kern w:val="2"/>
          <w:sz w:val="24"/>
          <w:szCs w:val="24"/>
          <w:lang w:bidi="ar-SA"/>
        </w:rPr>
        <w:t>说明：本表价格栏空白，落款处“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机构</w:t>
      </w:r>
      <w:r>
        <w:rPr>
          <w:rFonts w:ascii="仿宋" w:hAnsi="仿宋" w:eastAsia="仿宋" w:cs="仿宋"/>
          <w:kern w:val="2"/>
          <w:sz w:val="24"/>
          <w:szCs w:val="24"/>
          <w:lang w:bidi="ar-SA"/>
        </w:rPr>
        <w:t>名称（盖章）”一栏须由供应商加盖公章，否则本次报价视为无效，并将采用投标报价作为最终报价。供应商应尽量避免书写错误。</w:t>
      </w:r>
      <w:r>
        <w:rPr>
          <w:rFonts w:ascii="仿宋" w:hAnsi="仿宋" w:eastAsia="仿宋" w:cs="仿宋"/>
          <w:b/>
          <w:bCs/>
          <w:color w:val="000000"/>
          <w:kern w:val="2"/>
          <w:sz w:val="24"/>
          <w:szCs w:val="24"/>
          <w:lang w:bidi="ar-SA"/>
        </w:rPr>
        <w:t>注：①报价须涵盖文件规定的采购范围全部内容；②报价总计应包括所有相关费用（含质保期内人工费、产品安装调试费、税费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eastAsia="zh-CN" w:bidi="ar-SA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更新费用</w:t>
      </w:r>
      <w:r>
        <w:rPr>
          <w:rFonts w:ascii="仿宋" w:hAnsi="仿宋" w:eastAsia="仿宋" w:cs="仿宋"/>
          <w:b/>
          <w:bCs/>
          <w:color w:val="000000"/>
          <w:kern w:val="2"/>
          <w:sz w:val="24"/>
          <w:szCs w:val="24"/>
          <w:lang w:bidi="ar-SA"/>
        </w:rPr>
        <w:t>及质保期外的维护费等）。</w:t>
      </w:r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8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spacing w:line="360" w:lineRule="auto"/>
        <w:ind w:firstLine="460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先生/女士作为我公司的合法授权代理人，参加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保亭县医疗集团云胶片采购项目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（采购编号：BYCG-202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1ED1886A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F42D34-26CA-4A62-B97D-B47442F851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B27E4F7-2B1C-4204-B969-FB709AD777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7255D1-AB54-4C08-A209-A788B4ABC7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B31AA5-65BD-4D47-8419-E75DF7F7FBB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4208249-62D0-4D50-BBAF-E12E48381F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154482F-3B4E-46DC-9EC6-1A148EEE84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BD21D0"/>
    <w:rsid w:val="050D2A9B"/>
    <w:rsid w:val="071C0D73"/>
    <w:rsid w:val="095742E5"/>
    <w:rsid w:val="0A3208AE"/>
    <w:rsid w:val="0A7113D6"/>
    <w:rsid w:val="0A867D70"/>
    <w:rsid w:val="0B266665"/>
    <w:rsid w:val="0D3C0F87"/>
    <w:rsid w:val="0E7E0566"/>
    <w:rsid w:val="0EBE0962"/>
    <w:rsid w:val="0EE54565"/>
    <w:rsid w:val="132A4818"/>
    <w:rsid w:val="16730C17"/>
    <w:rsid w:val="16CA07EC"/>
    <w:rsid w:val="1ACA360D"/>
    <w:rsid w:val="1C7F3050"/>
    <w:rsid w:val="20B6593D"/>
    <w:rsid w:val="2120725A"/>
    <w:rsid w:val="27E92A9C"/>
    <w:rsid w:val="29A0362E"/>
    <w:rsid w:val="2B960845"/>
    <w:rsid w:val="309317F7"/>
    <w:rsid w:val="329C2289"/>
    <w:rsid w:val="33E10ACB"/>
    <w:rsid w:val="35352D08"/>
    <w:rsid w:val="35373099"/>
    <w:rsid w:val="36637EBD"/>
    <w:rsid w:val="378E2D18"/>
    <w:rsid w:val="39FE7F56"/>
    <w:rsid w:val="3CC02970"/>
    <w:rsid w:val="3D41798A"/>
    <w:rsid w:val="3EBD1EF8"/>
    <w:rsid w:val="3F3800B5"/>
    <w:rsid w:val="40977C03"/>
    <w:rsid w:val="429817AF"/>
    <w:rsid w:val="43602F51"/>
    <w:rsid w:val="459B6D2C"/>
    <w:rsid w:val="467611E1"/>
    <w:rsid w:val="46D52711"/>
    <w:rsid w:val="47BB1907"/>
    <w:rsid w:val="480E5EDB"/>
    <w:rsid w:val="49060960"/>
    <w:rsid w:val="4A1932A7"/>
    <w:rsid w:val="4B1B446B"/>
    <w:rsid w:val="5019541D"/>
    <w:rsid w:val="5043693E"/>
    <w:rsid w:val="53D53D51"/>
    <w:rsid w:val="54C82B2A"/>
    <w:rsid w:val="5621327D"/>
    <w:rsid w:val="577675F9"/>
    <w:rsid w:val="58F666B4"/>
    <w:rsid w:val="594F3C5E"/>
    <w:rsid w:val="5AA63D51"/>
    <w:rsid w:val="5D68610D"/>
    <w:rsid w:val="5DA546AF"/>
    <w:rsid w:val="63182F32"/>
    <w:rsid w:val="63A252D2"/>
    <w:rsid w:val="6506042B"/>
    <w:rsid w:val="653D52B2"/>
    <w:rsid w:val="653E102A"/>
    <w:rsid w:val="66012783"/>
    <w:rsid w:val="66A001EE"/>
    <w:rsid w:val="68570D81"/>
    <w:rsid w:val="6B321631"/>
    <w:rsid w:val="6C046B2A"/>
    <w:rsid w:val="6D967C55"/>
    <w:rsid w:val="6F7E4E45"/>
    <w:rsid w:val="6FF330B2"/>
    <w:rsid w:val="75F0011F"/>
    <w:rsid w:val="76037E52"/>
    <w:rsid w:val="760F4A49"/>
    <w:rsid w:val="77062109"/>
    <w:rsid w:val="78767001"/>
    <w:rsid w:val="7AEF6BF7"/>
    <w:rsid w:val="7B8B2DC3"/>
    <w:rsid w:val="7BCB3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6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Body Text First Indent"/>
    <w:basedOn w:val="5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标书样式1"/>
    <w:basedOn w:val="1"/>
    <w:qFormat/>
    <w:uiPriority w:val="0"/>
    <w:pPr>
      <w:spacing w:after="78"/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2323</Words>
  <Characters>2403</Characters>
  <Lines>0</Lines>
  <Paragraphs>0</Paragraphs>
  <TotalTime>2</TotalTime>
  <ScaleCrop>false</ScaleCrop>
  <LinksUpToDate>false</LinksUpToDate>
  <CharactersWithSpaces>2893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2025-06-06T00:15:32Z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