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A7AB4">
      <w:pPr>
        <w:pStyle w:val="3"/>
        <w:pageBreakBefore w:val="0"/>
        <w:numPr>
          <w:ilvl w:val="0"/>
          <w:numId w:val="0"/>
        </w:numPr>
        <w:kinsoku/>
        <w:wordWrap/>
        <w:overflowPunct/>
        <w:topLinePunct w:val="0"/>
        <w:autoSpaceDE/>
        <w:autoSpaceDN/>
        <w:bidi w:val="0"/>
        <w:spacing w:before="0" w:beforeLines="0" w:after="0" w:afterLines="0" w:line="560" w:lineRule="exact"/>
        <w:jc w:val="left"/>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p>
    <w:p w14:paraId="646C75AE">
      <w:pPr>
        <w:pStyle w:val="3"/>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保亭黎族苗族自治县人民医院</w:t>
      </w:r>
    </w:p>
    <w:p w14:paraId="39B705FA">
      <w:pPr>
        <w:pStyle w:val="3"/>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（保亭黎族苗族自治县医疗集团总医院）</w:t>
      </w:r>
    </w:p>
    <w:p w14:paraId="633ADF17">
      <w:pPr>
        <w:pStyle w:val="3"/>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光伏发电设备设施检测项目市场询价清单</w:t>
      </w:r>
    </w:p>
    <w:p w14:paraId="697604EF">
      <w:pPr>
        <w:rPr>
          <w:rStyle w:val="26"/>
          <w:rFonts w:hint="eastAsia" w:ascii="黑体" w:hAnsi="黑体" w:eastAsia="黑体" w:cs="黑体"/>
          <w:b w:val="0"/>
          <w:bCs w:val="0"/>
          <w:color w:val="auto"/>
          <w:sz w:val="32"/>
          <w:szCs w:val="32"/>
          <w:highlight w:val="none"/>
          <w:lang w:val="en-US" w:eastAsia="zh-CN"/>
        </w:rPr>
      </w:pPr>
    </w:p>
    <w:p w14:paraId="163ED7C7">
      <w:pPr>
        <w:pStyle w:val="32"/>
        <w:rPr>
          <w:rStyle w:val="26"/>
          <w:rFonts w:hint="default" w:ascii="黑体" w:hAnsi="黑体" w:eastAsia="黑体" w:cs="黑体"/>
          <w:b w:val="0"/>
          <w:bCs w:val="0"/>
          <w:color w:val="auto"/>
          <w:sz w:val="32"/>
          <w:szCs w:val="32"/>
          <w:highlight w:val="none"/>
          <w:lang w:val="en-US" w:eastAsia="zh-CN"/>
        </w:rPr>
      </w:pPr>
      <w:r>
        <w:rPr>
          <w:rStyle w:val="26"/>
          <w:rFonts w:hint="eastAsia" w:ascii="黑体" w:hAnsi="黑体" w:eastAsia="黑体" w:cs="黑体"/>
          <w:b w:val="0"/>
          <w:bCs w:val="0"/>
          <w:color w:val="auto"/>
          <w:sz w:val="32"/>
          <w:szCs w:val="32"/>
          <w:highlight w:val="none"/>
          <w:lang w:val="en-US" w:eastAsia="zh-CN"/>
        </w:rPr>
        <w:t>一、检测项目清单</w:t>
      </w:r>
    </w:p>
    <w:tbl>
      <w:tblPr>
        <w:tblStyle w:val="20"/>
        <w:tblW w:w="9387"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7"/>
        <w:gridCol w:w="3300"/>
        <w:gridCol w:w="1588"/>
        <w:gridCol w:w="1387"/>
        <w:gridCol w:w="1575"/>
      </w:tblGrid>
      <w:tr w14:paraId="51F7F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537" w:type="dxa"/>
            <w:tcBorders>
              <w:left w:val="single" w:color="000000" w:sz="4" w:space="0"/>
              <w:right w:val="single" w:color="000000" w:sz="4" w:space="0"/>
            </w:tcBorders>
            <w:vAlign w:val="center"/>
          </w:tcPr>
          <w:p w14:paraId="242FFFB6">
            <w:pPr>
              <w:autoSpaceDE w:val="0"/>
              <w:autoSpaceDN w:val="0"/>
              <w:spacing w:before="149" w:line="220" w:lineRule="auto"/>
              <w:ind w:left="227"/>
              <w:jc w:val="center"/>
              <w:rPr>
                <w:rFonts w:hint="default" w:asciiTheme="majorEastAsia" w:hAnsiTheme="majorEastAsia" w:eastAsiaTheme="majorEastAsia" w:cstheme="majorEastAsia"/>
                <w:b w:val="0"/>
                <w:bCs w:val="0"/>
                <w:spacing w:val="-1"/>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项目名称</w:t>
            </w:r>
          </w:p>
        </w:tc>
        <w:tc>
          <w:tcPr>
            <w:tcW w:w="3300" w:type="dxa"/>
            <w:tcBorders>
              <w:left w:val="single" w:color="000000" w:sz="4" w:space="0"/>
              <w:right w:val="single" w:color="000000" w:sz="4" w:space="0"/>
            </w:tcBorders>
            <w:vAlign w:val="center"/>
          </w:tcPr>
          <w:p w14:paraId="4C67B3EC">
            <w:pPr>
              <w:autoSpaceDE w:val="0"/>
              <w:autoSpaceDN w:val="0"/>
              <w:spacing w:before="149" w:line="220" w:lineRule="auto"/>
              <w:ind w:left="227"/>
              <w:jc w:val="center"/>
              <w:rPr>
                <w:rFonts w:hint="eastAsia" w:asciiTheme="majorEastAsia" w:hAnsiTheme="majorEastAsia" w:eastAsiaTheme="majorEastAsia" w:cstheme="majorEastAsia"/>
                <w:b w:val="0"/>
                <w:bCs w:val="0"/>
                <w:spacing w:val="-1"/>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测试内容</w:t>
            </w:r>
          </w:p>
        </w:tc>
        <w:tc>
          <w:tcPr>
            <w:tcW w:w="1588" w:type="dxa"/>
            <w:tcBorders>
              <w:left w:val="single" w:color="000000" w:sz="4" w:space="0"/>
              <w:right w:val="single" w:color="000000" w:sz="4" w:space="0"/>
            </w:tcBorders>
            <w:vAlign w:val="center"/>
          </w:tcPr>
          <w:p w14:paraId="36529A1E">
            <w:pPr>
              <w:autoSpaceDE w:val="0"/>
              <w:autoSpaceDN w:val="0"/>
              <w:spacing w:before="149" w:line="220" w:lineRule="auto"/>
              <w:ind w:left="227"/>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单价</w:t>
            </w:r>
          </w:p>
        </w:tc>
        <w:tc>
          <w:tcPr>
            <w:tcW w:w="1387" w:type="dxa"/>
            <w:tcBorders>
              <w:left w:val="single" w:color="000000" w:sz="4" w:space="0"/>
              <w:bottom w:val="single" w:color="auto" w:sz="4" w:space="0"/>
              <w:right w:val="single" w:color="000000" w:sz="4" w:space="0"/>
            </w:tcBorders>
            <w:vAlign w:val="center"/>
          </w:tcPr>
          <w:p w14:paraId="12E11919">
            <w:pPr>
              <w:autoSpaceDE w:val="0"/>
              <w:autoSpaceDN w:val="0"/>
              <w:spacing w:before="149" w:line="220" w:lineRule="auto"/>
              <w:ind w:left="227"/>
              <w:jc w:val="center"/>
              <w:rPr>
                <w:rFonts w:hint="default" w:asciiTheme="majorEastAsia" w:hAnsiTheme="majorEastAsia" w:eastAsiaTheme="majorEastAsia" w:cstheme="majorEastAsia"/>
                <w:b w:val="0"/>
                <w:bCs w:val="0"/>
                <w:spacing w:val="-1"/>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总价</w:t>
            </w:r>
          </w:p>
        </w:tc>
        <w:tc>
          <w:tcPr>
            <w:tcW w:w="1575" w:type="dxa"/>
            <w:tcBorders>
              <w:left w:val="single" w:color="000000" w:sz="4" w:space="0"/>
              <w:bottom w:val="single" w:color="auto" w:sz="4" w:space="0"/>
              <w:right w:val="single" w:color="000000" w:sz="4" w:space="0"/>
            </w:tcBorders>
            <w:vAlign w:val="center"/>
          </w:tcPr>
          <w:p w14:paraId="2E15D4CA">
            <w:pPr>
              <w:autoSpaceDE w:val="0"/>
              <w:autoSpaceDN w:val="0"/>
              <w:spacing w:before="149" w:line="220" w:lineRule="auto"/>
              <w:ind w:left="227"/>
              <w:jc w:val="center"/>
              <w:rPr>
                <w:rFonts w:hint="eastAsia" w:asciiTheme="majorEastAsia" w:hAnsiTheme="majorEastAsia" w:eastAsiaTheme="majorEastAsia" w:cstheme="majorEastAsia"/>
                <w:b w:val="0"/>
                <w:bCs w:val="0"/>
                <w:spacing w:val="-1"/>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检测周期</w:t>
            </w:r>
          </w:p>
        </w:tc>
      </w:tr>
      <w:tr w14:paraId="225C6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37" w:type="dxa"/>
            <w:vMerge w:val="restart"/>
            <w:tcBorders>
              <w:left w:val="single" w:color="000000" w:sz="4" w:space="0"/>
              <w:right w:val="single" w:color="000000" w:sz="4" w:space="0"/>
            </w:tcBorders>
            <w:vAlign w:val="center"/>
          </w:tcPr>
          <w:p w14:paraId="39BBCAEB">
            <w:pPr>
              <w:autoSpaceDE w:val="0"/>
              <w:autoSpaceDN w:val="0"/>
              <w:spacing w:before="149" w:line="220" w:lineRule="auto"/>
              <w:jc w:val="center"/>
              <w:rPr>
                <w:rFonts w:hint="eastAsia"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1"/>
                <w:sz w:val="24"/>
                <w:szCs w:val="24"/>
                <w:lang w:val="en-US" w:eastAsia="zh-CN"/>
              </w:rPr>
              <w:t xml:space="preserve"> 光伏并网验收检测</w:t>
            </w:r>
          </w:p>
        </w:tc>
        <w:tc>
          <w:tcPr>
            <w:tcW w:w="3300" w:type="dxa"/>
            <w:tcBorders>
              <w:left w:val="single" w:color="000000" w:sz="4" w:space="0"/>
              <w:right w:val="single" w:color="000000" w:sz="4" w:space="0"/>
            </w:tcBorders>
            <w:vAlign w:val="center"/>
          </w:tcPr>
          <w:p w14:paraId="18803BDA">
            <w:pPr>
              <w:autoSpaceDE w:val="0"/>
              <w:autoSpaceDN w:val="0"/>
              <w:spacing w:before="149" w:line="22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转换效率（直流转交流）</w:t>
            </w:r>
          </w:p>
        </w:tc>
        <w:tc>
          <w:tcPr>
            <w:tcW w:w="1588" w:type="dxa"/>
            <w:tcBorders>
              <w:left w:val="single" w:color="000000" w:sz="4" w:space="0"/>
              <w:right w:val="single" w:color="auto" w:sz="4" w:space="0"/>
            </w:tcBorders>
            <w:vAlign w:val="center"/>
          </w:tcPr>
          <w:p w14:paraId="5FD4776D">
            <w:pPr>
              <w:autoSpaceDE w:val="0"/>
              <w:autoSpaceDN w:val="0"/>
              <w:spacing w:before="149" w:line="220" w:lineRule="auto"/>
              <w:jc w:val="both"/>
              <w:rPr>
                <w:rFonts w:hint="eastAsia" w:ascii="仿宋_GB2312" w:hAnsi="仿宋_GB2312" w:eastAsia="仿宋_GB2312" w:cs="仿宋_GB2312"/>
                <w:spacing w:val="-1"/>
                <w:sz w:val="22"/>
                <w:szCs w:val="22"/>
                <w:lang w:val="en-US" w:eastAsia="zh-CN"/>
              </w:rPr>
            </w:pPr>
          </w:p>
        </w:tc>
        <w:tc>
          <w:tcPr>
            <w:tcW w:w="1387" w:type="dxa"/>
            <w:vMerge w:val="restart"/>
            <w:tcBorders>
              <w:top w:val="single" w:color="auto" w:sz="4" w:space="0"/>
              <w:left w:val="single" w:color="auto" w:sz="4" w:space="0"/>
              <w:right w:val="single" w:color="auto" w:sz="4" w:space="0"/>
            </w:tcBorders>
            <w:vAlign w:val="center"/>
          </w:tcPr>
          <w:p w14:paraId="6F771F7B">
            <w:pPr>
              <w:autoSpaceDE w:val="0"/>
              <w:autoSpaceDN w:val="0"/>
              <w:spacing w:before="149" w:line="220" w:lineRule="auto"/>
              <w:jc w:val="center"/>
              <w:rPr>
                <w:rFonts w:hint="eastAsia" w:ascii="仿宋_GB2312" w:hAnsi="仿宋_GB2312" w:eastAsia="仿宋_GB2312" w:cs="仿宋_GB2312"/>
                <w:spacing w:val="-1"/>
                <w:sz w:val="22"/>
                <w:szCs w:val="22"/>
                <w:lang w:val="en-US" w:eastAsia="zh-CN"/>
              </w:rPr>
            </w:pPr>
          </w:p>
        </w:tc>
        <w:tc>
          <w:tcPr>
            <w:tcW w:w="1575" w:type="dxa"/>
            <w:vMerge w:val="restart"/>
            <w:tcBorders>
              <w:top w:val="single" w:color="auto" w:sz="4" w:space="0"/>
              <w:left w:val="single" w:color="auto" w:sz="4" w:space="0"/>
              <w:right w:val="single" w:color="auto" w:sz="4" w:space="0"/>
            </w:tcBorders>
            <w:vAlign w:val="center"/>
          </w:tcPr>
          <w:p w14:paraId="163D1ACE">
            <w:pPr>
              <w:autoSpaceDE w:val="0"/>
              <w:autoSpaceDN w:val="0"/>
              <w:spacing w:before="149" w:line="22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spacing w:val="-1"/>
                <w:sz w:val="22"/>
                <w:szCs w:val="22"/>
                <w:lang w:val="en-US" w:eastAsia="zh-CN"/>
              </w:rPr>
              <w:t>15个工作日内</w:t>
            </w:r>
          </w:p>
        </w:tc>
      </w:tr>
      <w:tr w14:paraId="5846E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537" w:type="dxa"/>
            <w:vMerge w:val="continue"/>
            <w:tcBorders>
              <w:left w:val="single" w:color="000000" w:sz="4" w:space="0"/>
              <w:right w:val="single" w:color="000000" w:sz="4" w:space="0"/>
            </w:tcBorders>
            <w:vAlign w:val="center"/>
          </w:tcPr>
          <w:p w14:paraId="59A6B41A">
            <w:pPr>
              <w:autoSpaceDE w:val="0"/>
              <w:autoSpaceDN w:val="0"/>
              <w:spacing w:before="149" w:line="220" w:lineRule="auto"/>
              <w:jc w:val="center"/>
              <w:rPr>
                <w:rFonts w:hint="eastAsia" w:ascii="宋体" w:hAnsi="宋体" w:eastAsia="宋体" w:cs="宋体"/>
                <w:spacing w:val="-1"/>
                <w:sz w:val="24"/>
                <w:szCs w:val="24"/>
                <w:lang w:val="en-US" w:eastAsia="zh-CN"/>
              </w:rPr>
            </w:pPr>
          </w:p>
        </w:tc>
        <w:tc>
          <w:tcPr>
            <w:tcW w:w="3300" w:type="dxa"/>
            <w:tcBorders>
              <w:left w:val="single" w:color="000000" w:sz="4" w:space="0"/>
              <w:right w:val="single" w:color="000000" w:sz="4" w:space="0"/>
            </w:tcBorders>
            <w:vAlign w:val="center"/>
          </w:tcPr>
          <w:p w14:paraId="7EC82D09">
            <w:pPr>
              <w:pStyle w:val="32"/>
              <w:widowControl w:val="0"/>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2.组件、逆变器、支架、线缆资</w:t>
            </w:r>
          </w:p>
          <w:p w14:paraId="1FB2D7BC">
            <w:pPr>
              <w:pStyle w:val="32"/>
              <w:widowControl w:val="0"/>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料检查</w:t>
            </w:r>
          </w:p>
        </w:tc>
        <w:tc>
          <w:tcPr>
            <w:tcW w:w="1588" w:type="dxa"/>
            <w:tcBorders>
              <w:left w:val="single" w:color="000000" w:sz="4" w:space="0"/>
              <w:right w:val="single" w:color="auto" w:sz="4" w:space="0"/>
            </w:tcBorders>
            <w:vAlign w:val="center"/>
          </w:tcPr>
          <w:p w14:paraId="0006F057">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0E504861">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6B6BFF65">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51164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3E9BE03A">
            <w:pPr>
              <w:autoSpaceDE w:val="0"/>
              <w:autoSpaceDN w:val="0"/>
              <w:spacing w:before="149" w:line="220" w:lineRule="auto"/>
              <w:jc w:val="center"/>
              <w:rPr>
                <w:rFonts w:hint="eastAsia" w:ascii="宋体" w:hAnsi="宋体" w:eastAsia="宋体" w:cs="宋体"/>
                <w:spacing w:val="-1"/>
                <w:sz w:val="24"/>
                <w:szCs w:val="24"/>
                <w:lang w:val="en-US" w:eastAsia="zh-CN"/>
              </w:rPr>
            </w:pPr>
          </w:p>
        </w:tc>
        <w:tc>
          <w:tcPr>
            <w:tcW w:w="3300" w:type="dxa"/>
            <w:tcBorders>
              <w:left w:val="single" w:color="000000" w:sz="4" w:space="0"/>
              <w:right w:val="single" w:color="000000" w:sz="4" w:space="0"/>
            </w:tcBorders>
            <w:vAlign w:val="center"/>
          </w:tcPr>
          <w:p w14:paraId="2709F3C5">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绝缘电阻测试</w:t>
            </w:r>
          </w:p>
        </w:tc>
        <w:tc>
          <w:tcPr>
            <w:tcW w:w="1588" w:type="dxa"/>
            <w:tcBorders>
              <w:left w:val="single" w:color="000000" w:sz="4" w:space="0"/>
              <w:right w:val="single" w:color="auto" w:sz="4" w:space="0"/>
            </w:tcBorders>
            <w:vAlign w:val="center"/>
          </w:tcPr>
          <w:p w14:paraId="6994132E">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493EEE85">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4C6EBAEA">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6DF5A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64523569">
            <w:pPr>
              <w:autoSpaceDE w:val="0"/>
              <w:autoSpaceDN w:val="0"/>
              <w:spacing w:before="149" w:line="220" w:lineRule="auto"/>
              <w:jc w:val="center"/>
              <w:rPr>
                <w:rFonts w:hint="eastAsia" w:ascii="宋体" w:hAnsi="宋体" w:eastAsia="宋体" w:cs="宋体"/>
                <w:spacing w:val="-1"/>
                <w:sz w:val="24"/>
                <w:szCs w:val="24"/>
                <w:lang w:val="en-US" w:eastAsia="zh-CN"/>
              </w:rPr>
            </w:pPr>
          </w:p>
        </w:tc>
        <w:tc>
          <w:tcPr>
            <w:tcW w:w="3300" w:type="dxa"/>
            <w:tcBorders>
              <w:left w:val="single" w:color="000000" w:sz="4" w:space="0"/>
              <w:right w:val="single" w:color="000000" w:sz="4" w:space="0"/>
            </w:tcBorders>
            <w:vAlign w:val="center"/>
          </w:tcPr>
          <w:p w14:paraId="20843CC7">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接地连续性测试</w:t>
            </w:r>
          </w:p>
        </w:tc>
        <w:tc>
          <w:tcPr>
            <w:tcW w:w="1588" w:type="dxa"/>
            <w:tcBorders>
              <w:left w:val="single" w:color="000000" w:sz="4" w:space="0"/>
              <w:right w:val="single" w:color="auto" w:sz="4" w:space="0"/>
            </w:tcBorders>
            <w:vAlign w:val="center"/>
          </w:tcPr>
          <w:p w14:paraId="0BA9D878">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09B816F4">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3E1702A7">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7B086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34A58F53">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3BE90373">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光伏组件红外(IR)扫描检查</w:t>
            </w:r>
          </w:p>
        </w:tc>
        <w:tc>
          <w:tcPr>
            <w:tcW w:w="1588" w:type="dxa"/>
            <w:tcBorders>
              <w:left w:val="single" w:color="000000" w:sz="4" w:space="0"/>
              <w:right w:val="single" w:color="auto" w:sz="4" w:space="0"/>
            </w:tcBorders>
            <w:vAlign w:val="center"/>
          </w:tcPr>
          <w:p w14:paraId="21E296BD">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7FDB49FE">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252BEC67">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2CF58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19925C27">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22883D74">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线路检查</w:t>
            </w:r>
          </w:p>
        </w:tc>
        <w:tc>
          <w:tcPr>
            <w:tcW w:w="1588" w:type="dxa"/>
            <w:tcBorders>
              <w:left w:val="single" w:color="000000" w:sz="4" w:space="0"/>
              <w:right w:val="single" w:color="auto" w:sz="4" w:space="0"/>
            </w:tcBorders>
            <w:vAlign w:val="center"/>
          </w:tcPr>
          <w:p w14:paraId="794905C4">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6C1B8E73">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7721C6FC">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0D876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0DF6ACD8">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13968DD6">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逆变器、汇流箱检查</w:t>
            </w:r>
          </w:p>
        </w:tc>
        <w:tc>
          <w:tcPr>
            <w:tcW w:w="1588" w:type="dxa"/>
            <w:tcBorders>
              <w:left w:val="single" w:color="000000" w:sz="4" w:space="0"/>
              <w:right w:val="single" w:color="auto" w:sz="4" w:space="0"/>
            </w:tcBorders>
            <w:vAlign w:val="center"/>
          </w:tcPr>
          <w:p w14:paraId="3C13ACD2">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67EB7484">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263EAFAF">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67186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trPr>
        <w:tc>
          <w:tcPr>
            <w:tcW w:w="1537" w:type="dxa"/>
            <w:vMerge w:val="continue"/>
            <w:tcBorders>
              <w:left w:val="single" w:color="000000" w:sz="4" w:space="0"/>
              <w:right w:val="single" w:color="000000" w:sz="4" w:space="0"/>
            </w:tcBorders>
            <w:vAlign w:val="center"/>
          </w:tcPr>
          <w:p w14:paraId="7B0EC6DD">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6BAA9193">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并网配电箱安装检查</w:t>
            </w:r>
          </w:p>
        </w:tc>
        <w:tc>
          <w:tcPr>
            <w:tcW w:w="1588" w:type="dxa"/>
            <w:tcBorders>
              <w:left w:val="single" w:color="000000" w:sz="4" w:space="0"/>
              <w:right w:val="single" w:color="auto" w:sz="4" w:space="0"/>
            </w:tcBorders>
            <w:vAlign w:val="center"/>
          </w:tcPr>
          <w:p w14:paraId="4BE2131A">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67B5C979">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0416F207">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5C18C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trPr>
        <w:tc>
          <w:tcPr>
            <w:tcW w:w="1537" w:type="dxa"/>
            <w:vMerge w:val="continue"/>
            <w:tcBorders>
              <w:left w:val="single" w:color="000000" w:sz="4" w:space="0"/>
              <w:right w:val="single" w:color="000000" w:sz="4" w:space="0"/>
            </w:tcBorders>
            <w:vAlign w:val="center"/>
          </w:tcPr>
          <w:p w14:paraId="352D52CF">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338794F5">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发电数量核实</w:t>
            </w:r>
          </w:p>
        </w:tc>
        <w:tc>
          <w:tcPr>
            <w:tcW w:w="1588" w:type="dxa"/>
            <w:tcBorders>
              <w:left w:val="single" w:color="000000" w:sz="4" w:space="0"/>
              <w:right w:val="single" w:color="auto" w:sz="4" w:space="0"/>
            </w:tcBorders>
            <w:vAlign w:val="center"/>
          </w:tcPr>
          <w:p w14:paraId="18B37B27">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5F109133">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48427AFA">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4B002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537" w:type="dxa"/>
            <w:vMerge w:val="continue"/>
            <w:tcBorders>
              <w:left w:val="single" w:color="000000" w:sz="4" w:space="0"/>
              <w:bottom w:val="single" w:color="auto" w:sz="4" w:space="0"/>
              <w:right w:val="single" w:color="000000" w:sz="4" w:space="0"/>
            </w:tcBorders>
            <w:vAlign w:val="center"/>
          </w:tcPr>
          <w:p w14:paraId="006AA5F8">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bottom w:val="single" w:color="auto" w:sz="4" w:space="0"/>
              <w:right w:val="single" w:color="000000" w:sz="4" w:space="0"/>
            </w:tcBorders>
            <w:vAlign w:val="center"/>
          </w:tcPr>
          <w:p w14:paraId="7D90E3CF">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电量去向</w:t>
            </w:r>
          </w:p>
        </w:tc>
        <w:tc>
          <w:tcPr>
            <w:tcW w:w="1588" w:type="dxa"/>
            <w:tcBorders>
              <w:left w:val="single" w:color="000000" w:sz="4" w:space="0"/>
              <w:right w:val="single" w:color="auto" w:sz="4" w:space="0"/>
            </w:tcBorders>
            <w:vAlign w:val="center"/>
          </w:tcPr>
          <w:p w14:paraId="1A60E11F">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4E8D7323">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48E56051">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4212B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9387" w:type="dxa"/>
            <w:gridSpan w:val="5"/>
            <w:tcBorders>
              <w:left w:val="single" w:color="000000" w:sz="4" w:space="0"/>
              <w:right w:val="single" w:color="000000" w:sz="4" w:space="0"/>
            </w:tcBorders>
            <w:vAlign w:val="center"/>
          </w:tcPr>
          <w:p w14:paraId="56FBCA00">
            <w:pPr>
              <w:tabs>
                <w:tab w:val="left" w:pos="2945"/>
              </w:tabs>
              <w:autoSpaceDE w:val="0"/>
              <w:autoSpaceDN w:val="0"/>
              <w:spacing w:before="149" w:line="220" w:lineRule="auto"/>
              <w:jc w:val="both"/>
              <w:rPr>
                <w:rFonts w:hint="default" w:ascii="宋体" w:hAnsi="宋体" w:eastAsia="宋体" w:cs="宋体"/>
                <w:spacing w:val="-1"/>
                <w:sz w:val="22"/>
                <w:szCs w:val="22"/>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合计金额：</w:t>
            </w:r>
            <w:r>
              <w:rPr>
                <w:rFonts w:hint="eastAsia" w:ascii="仿宋_GB2312" w:hAnsi="仿宋_GB2312" w:eastAsia="仿宋_GB2312" w:cs="仿宋_GB2312"/>
                <w:b w:val="0"/>
                <w:bCs w:val="0"/>
                <w:i w:val="0"/>
                <w:iCs w:val="0"/>
                <w:color w:val="000000"/>
                <w:sz w:val="24"/>
                <w:szCs w:val="24"/>
                <w:u w:val="none"/>
                <w:lang w:val="en-US" w:eastAsia="zh-CN"/>
              </w:rPr>
              <w:t>大写：                     元整</w:t>
            </w: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，（小写）                元</w:t>
            </w:r>
          </w:p>
        </w:tc>
      </w:tr>
    </w:tbl>
    <w:p w14:paraId="74EE2208">
      <w:pPr>
        <w:rPr>
          <w:rFonts w:hint="eastAsia" w:ascii="仿宋_GB2312" w:hAnsi="仿宋_GB2312" w:eastAsia="仿宋_GB2312" w:cs="仿宋_GB2312"/>
          <w:sz w:val="32"/>
          <w:szCs w:val="32"/>
          <w:lang w:val="en-US" w:eastAsia="zh-CN"/>
        </w:rPr>
      </w:pPr>
    </w:p>
    <w:p w14:paraId="6079123B">
      <w:pPr>
        <w:widowControl w:val="0"/>
        <w:jc w:val="both"/>
        <w:rPr>
          <w:rFonts w:hint="eastAsia" w:ascii="仿宋_GB2312" w:hAnsi="仿宋_GB2312" w:eastAsia="仿宋_GB2312" w:cs="仿宋_GB2312"/>
          <w:sz w:val="32"/>
          <w:szCs w:val="32"/>
          <w:lang w:val="en-US" w:eastAsia="zh-CN"/>
        </w:rPr>
      </w:pPr>
      <w:r>
        <w:rPr>
          <w:rFonts w:ascii="仿宋_GB2312" w:hAnsi="仿宋_GB2312" w:eastAsia="仿宋_GB2312" w:cs="仿宋_GB2312"/>
          <w:kern w:val="2"/>
          <w:sz w:val="32"/>
          <w:szCs w:val="32"/>
          <w:lang w:bidi="ar-SA"/>
        </w:rPr>
        <w:t>以上报价已包含税费及检测期内服务过程中可能产生的所有额外费用。供应商如有任何疑问，请通过电话进行咨询；对于未明确的需求事项，需安排现场勘查。</w:t>
      </w:r>
    </w:p>
    <w:p w14:paraId="7D20063B">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jc w:val="left"/>
        <w:textAlignment w:val="auto"/>
        <w:rPr>
          <w:rStyle w:val="26"/>
          <w:rFonts w:hint="eastAsia" w:ascii="黑体" w:hAnsi="黑体" w:eastAsia="黑体" w:cs="黑体"/>
          <w:b w:val="0"/>
          <w:bCs w:val="0"/>
          <w:color w:val="auto"/>
          <w:sz w:val="32"/>
          <w:szCs w:val="32"/>
          <w:highlight w:val="none"/>
          <w:lang w:val="en-US" w:eastAsia="zh-CN"/>
        </w:rPr>
      </w:pPr>
      <w:r>
        <w:rPr>
          <w:rStyle w:val="26"/>
          <w:rFonts w:hint="eastAsia" w:ascii="黑体" w:hAnsi="黑体" w:eastAsia="黑体" w:cs="黑体"/>
          <w:b w:val="0"/>
          <w:bCs w:val="0"/>
          <w:color w:val="auto"/>
          <w:sz w:val="32"/>
          <w:szCs w:val="32"/>
          <w:highlight w:val="none"/>
          <w:lang w:val="en-US" w:eastAsia="zh-CN"/>
        </w:rPr>
        <w:t>检测要求</w:t>
      </w:r>
    </w:p>
    <w:p w14:paraId="319BC44E">
      <w:pPr>
        <w:pStyle w:val="19"/>
        <w:numPr>
          <w:ilvl w:val="0"/>
          <w:numId w:val="0"/>
        </w:numPr>
        <w:tabs>
          <w:tab w:val="left" w:pos="256"/>
        </w:tabs>
        <w:spacing w:before="162"/>
        <w:ind w:left="48" w:left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1、出具检验报告。</w:t>
      </w:r>
    </w:p>
    <w:p w14:paraId="6BAC2416">
      <w:pPr>
        <w:pStyle w:val="19"/>
        <w:numPr>
          <w:ilvl w:val="0"/>
          <w:numId w:val="0"/>
        </w:numPr>
        <w:tabs>
          <w:tab w:val="left" w:pos="256"/>
        </w:tabs>
        <w:spacing w:before="152"/>
        <w:rPr>
          <w:rFonts w:hint="eastAsia" w:ascii="仿宋_GB2312" w:hAnsi="仿宋_GB2312" w:eastAsia="仿宋_GB2312" w:cs="仿宋_GB2312"/>
          <w:sz w:val="32"/>
          <w:szCs w:val="32"/>
          <w:lang w:val="en-US" w:eastAsia="zh-CN" w:bidi="fr-FR"/>
        </w:rPr>
      </w:pPr>
      <w:r>
        <w:rPr>
          <w:rFonts w:hint="eastAsia" w:ascii="仿宋_GB2312" w:hAnsi="仿宋_GB2312" w:eastAsia="仿宋_GB2312" w:cs="仿宋_GB2312"/>
          <w:kern w:val="2"/>
          <w:sz w:val="32"/>
          <w:szCs w:val="32"/>
          <w:lang w:val="en-US" w:eastAsia="zh-CN" w:bidi="ar-SA"/>
        </w:rPr>
        <w:t>2、报价30天内有效。</w:t>
      </w:r>
    </w:p>
    <w:p w14:paraId="0255A8BA">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Style w:val="26"/>
          <w:rFonts w:hint="eastAsia" w:ascii="黑体" w:hAnsi="黑体" w:eastAsia="黑体" w:cs="黑体"/>
          <w:b w:val="0"/>
          <w:bCs w:val="0"/>
          <w:color w:val="auto"/>
          <w:sz w:val="32"/>
          <w:szCs w:val="32"/>
          <w:highlight w:val="none"/>
          <w:lang w:val="en-US" w:eastAsia="zh-CN"/>
        </w:rPr>
      </w:pPr>
    </w:p>
    <w:p w14:paraId="38ED0693">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3、检测过程中需严格遵守国家及行业相关安全规范，确保人员及设备安全。</w:t>
      </w:r>
    </w:p>
    <w:p w14:paraId="47A6529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4、检测期间，供应商需派遣专业技术人员进行现场操作与指导，确保检测结果的准确性。</w:t>
      </w:r>
    </w:p>
    <w:p w14:paraId="0AA8690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5、对于检测中发现的任何问题或异常，供应商需及时书面通知我院，并提供相应的解决方案或建议。</w:t>
      </w:r>
    </w:p>
    <w:p w14:paraId="7938C9D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6、检测完成后，供应商需将检测报告及所有相关资料整理齐全，一式两份，一份交予我院存档，一份供应商自留备查。</w:t>
      </w:r>
    </w:p>
    <w:p w14:paraId="3A1C6206">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jc w:val="left"/>
        <w:textAlignment w:val="auto"/>
        <w:rPr>
          <w:rStyle w:val="26"/>
          <w:rFonts w:hint="eastAsia" w:ascii="黑体" w:hAnsi="黑体" w:eastAsia="黑体" w:cs="黑体"/>
          <w:b w:val="0"/>
          <w:bCs w:val="0"/>
          <w:color w:val="auto"/>
          <w:sz w:val="32"/>
          <w:szCs w:val="32"/>
          <w:highlight w:val="none"/>
          <w:lang w:val="en-US" w:eastAsia="zh-CN"/>
        </w:rPr>
      </w:pPr>
      <w:r>
        <w:rPr>
          <w:rStyle w:val="26"/>
          <w:rFonts w:hint="eastAsia" w:ascii="黑体" w:hAnsi="黑体" w:eastAsia="黑体" w:cs="黑体"/>
          <w:b w:val="0"/>
          <w:bCs w:val="0"/>
          <w:color w:val="auto"/>
          <w:sz w:val="32"/>
          <w:szCs w:val="32"/>
          <w:highlight w:val="none"/>
          <w:lang w:val="en-US" w:eastAsia="zh-CN"/>
        </w:rPr>
        <w:t>检测费支付方式</w:t>
      </w:r>
    </w:p>
    <w:p w14:paraId="52BBE71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合同签订后预付30%的服务费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检测完成出具正式报告后支付7</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的服务费</w:t>
      </w:r>
      <w:r>
        <w:rPr>
          <w:rFonts w:hint="eastAsia" w:ascii="仿宋_GB2312" w:hAnsi="仿宋_GB2312" w:eastAsia="仿宋_GB2312" w:cs="仿宋_GB2312"/>
          <w:sz w:val="32"/>
          <w:szCs w:val="32"/>
        </w:rPr>
        <w:t>。</w:t>
      </w:r>
    </w:p>
    <w:p w14:paraId="3F1C47F5">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6258757A">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6D80158E">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报价单位：（盖章）                                </w:t>
      </w:r>
    </w:p>
    <w:p w14:paraId="0C7FBEF1">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2CF14C0C">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4710D57B">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2B9C824B">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 xml:space="preserve">联 系 人： </w:t>
      </w:r>
    </w:p>
    <w:p w14:paraId="26E7C08F">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620BA7D3">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身份证号：                              </w:t>
      </w:r>
    </w:p>
    <w:p w14:paraId="2946CCE2">
      <w:pPr>
        <w:pStyle w:val="3"/>
        <w:pageBreakBefore w:val="0"/>
        <w:numPr>
          <w:ilvl w:val="1"/>
          <w:numId w:val="0"/>
        </w:numPr>
        <w:kinsoku/>
        <w:wordWrap/>
        <w:overflowPunct/>
        <w:topLinePunct w:val="0"/>
        <w:autoSpaceDE/>
        <w:autoSpaceDN/>
        <w:bidi w:val="0"/>
        <w:spacing w:before="0" w:beforeLines="0" w:after="0" w:afterLines="0" w:line="560" w:lineRule="exact"/>
        <w:ind w:leftChars="0"/>
        <w:rPr>
          <w:rFonts w:hint="eastAsia" w:ascii="仿宋_GB2312" w:hAnsi="仿宋_GB2312" w:eastAsia="仿宋_GB2312" w:cs="仿宋_GB2312"/>
          <w:b w:val="0"/>
          <w:bCs/>
          <w:sz w:val="32"/>
          <w:szCs w:val="32"/>
          <w:lang w:val="en-US" w:eastAsia="zh-CN"/>
        </w:rPr>
      </w:pPr>
    </w:p>
    <w:p w14:paraId="4CEA9366">
      <w:pPr>
        <w:pStyle w:val="3"/>
        <w:pageBreakBefore w:val="0"/>
        <w:numPr>
          <w:ilvl w:val="1"/>
          <w:numId w:val="0"/>
        </w:numPr>
        <w:kinsoku/>
        <w:wordWrap/>
        <w:overflowPunct/>
        <w:topLinePunct w:val="0"/>
        <w:autoSpaceDE/>
        <w:autoSpaceDN/>
        <w:bidi w:val="0"/>
        <w:spacing w:before="0" w:beforeLines="0" w:after="0" w:afterLines="0" w:line="560" w:lineRule="exact"/>
        <w:ind w:left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电    话：  </w:t>
      </w:r>
    </w:p>
    <w:p w14:paraId="772832DF">
      <w:pPr>
        <w:pStyle w:val="3"/>
        <w:pageBreakBefore w:val="0"/>
        <w:numPr>
          <w:ilvl w:val="1"/>
          <w:numId w:val="0"/>
        </w:numPr>
        <w:kinsoku/>
        <w:wordWrap/>
        <w:overflowPunct/>
        <w:topLinePunct w:val="0"/>
        <w:autoSpaceDE/>
        <w:autoSpaceDN/>
        <w:bidi w:val="0"/>
        <w:spacing w:before="0" w:beforeLines="0" w:after="0" w:afterLines="0" w:line="560" w:lineRule="exact"/>
        <w:ind w:leftChars="0"/>
        <w:rPr>
          <w:rFonts w:hint="eastAsia" w:ascii="仿宋_GB2312" w:hAnsi="仿宋_GB2312" w:eastAsia="仿宋_GB2312" w:cs="仿宋_GB2312"/>
          <w:b w:val="0"/>
          <w:bCs/>
          <w:sz w:val="32"/>
          <w:szCs w:val="32"/>
          <w:lang w:val="en-US" w:eastAsia="zh-CN"/>
        </w:rPr>
      </w:pPr>
    </w:p>
    <w:p w14:paraId="69ADBD19">
      <w:pPr>
        <w:pStyle w:val="3"/>
        <w:pageBreakBefore w:val="0"/>
        <w:numPr>
          <w:ilvl w:val="1"/>
          <w:numId w:val="0"/>
        </w:numPr>
        <w:kinsoku/>
        <w:wordWrap/>
        <w:overflowPunct/>
        <w:topLinePunct w:val="0"/>
        <w:autoSpaceDE/>
        <w:autoSpaceDN/>
        <w:bidi w:val="0"/>
        <w:spacing w:before="0" w:beforeLines="0" w:after="0" w:afterLines="0" w:line="560" w:lineRule="exact"/>
        <w:ind w:leftChars="0"/>
        <w:rPr>
          <w:rFonts w:hint="eastAsia" w:ascii="宋体" w:hAnsi="宋体" w:eastAsia="宋体" w:cs="宋体"/>
          <w:b w:val="0"/>
          <w:bCs/>
          <w:sz w:val="24"/>
          <w:szCs w:val="21"/>
          <w:lang w:val="en-US" w:eastAsia="zh-CN"/>
        </w:rPr>
      </w:pPr>
      <w:r>
        <w:rPr>
          <w:rFonts w:hint="eastAsia" w:ascii="仿宋_GB2312" w:hAnsi="仿宋_GB2312" w:eastAsia="仿宋_GB2312" w:cs="仿宋_GB2312"/>
          <w:b w:val="0"/>
          <w:bCs/>
          <w:sz w:val="32"/>
          <w:szCs w:val="32"/>
          <w:lang w:val="en-US" w:eastAsia="zh-CN"/>
        </w:rPr>
        <w:t>日    期：2025年  月    日</w:t>
      </w:r>
    </w:p>
    <w:p w14:paraId="56F9E733">
      <w:pPr>
        <w:jc w:val="both"/>
        <w:rPr>
          <w:rFonts w:hint="eastAsia" w:ascii="仿宋" w:hAnsi="仿宋" w:eastAsia="仿宋" w:cs="仿宋"/>
          <w:sz w:val="32"/>
          <w:szCs w:val="32"/>
          <w:lang w:val="en-US" w:eastAsia="zh-CN"/>
        </w:rPr>
      </w:pPr>
      <w:bookmarkStart w:id="0" w:name="_GoBack"/>
      <w:bookmarkEnd w:id="0"/>
    </w:p>
    <w:sectPr>
      <w:pgSz w:w="11906" w:h="16838"/>
      <w:pgMar w:top="1327" w:right="1519" w:bottom="127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F82E1C-4323-4FD3-B8DC-0FEBDDD378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42D3A87-D48C-4429-B655-979ED30EFAA3}"/>
  </w:font>
  <w:font w:name="仿宋_GB2312">
    <w:panose1 w:val="02010609030101010101"/>
    <w:charset w:val="86"/>
    <w:family w:val="decorative"/>
    <w:pitch w:val="default"/>
    <w:sig w:usb0="00000001" w:usb1="080E0000" w:usb2="00000000" w:usb3="00000000" w:csb0="00040000" w:csb1="00000000"/>
    <w:embedRegular r:id="rId3" w:fontKey="{C3DCDF6E-9E41-405D-87D1-DFB8B2BD01E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embedRegular r:id="rId4" w:fontKey="{F561DDBD-37D8-4A92-91ED-B0F163CD0AA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2D022"/>
    <w:multiLevelType w:val="multilevel"/>
    <w:tmpl w:val="D282D022"/>
    <w:lvl w:ilvl="0" w:tentative="0">
      <w:start w:val="1"/>
      <w:numFmt w:val="chineseCounting"/>
      <w:lvlText w:val="%1、"/>
      <w:lvlJc w:val="left"/>
      <w:pPr>
        <w:ind w:left="432" w:hanging="432"/>
      </w:pPr>
      <w:rPr>
        <w:rFonts w:hint="eastAsia" w:ascii="宋体" w:hAnsi="宋体" w:eastAsia="宋体" w:cs="仿宋"/>
        <w:lang w:val="en-US"/>
      </w:rPr>
    </w:lvl>
    <w:lvl w:ilvl="1" w:tentative="0">
      <w:start w:val="1"/>
      <w:numFmt w:val="decimal"/>
      <w:isLgl/>
      <w:lvlText w:val="%1.%2."/>
      <w:lvlJc w:val="left"/>
      <w:pPr>
        <w:ind w:left="575" w:hanging="575"/>
      </w:pPr>
      <w:rPr>
        <w:rFonts w:hint="eastAsia" w:ascii="宋体" w:hAnsi="宋体" w:eastAsia="宋体" w:cs="仿宋"/>
      </w:rPr>
    </w:lvl>
    <w:lvl w:ilvl="2" w:tentative="0">
      <w:start w:val="1"/>
      <w:numFmt w:val="decimal"/>
      <w:pStyle w:val="4"/>
      <w:isLgl/>
      <w:lvlText w:val="%1.%2.%3."/>
      <w:lvlJc w:val="left"/>
      <w:pPr>
        <w:ind w:left="720" w:hanging="720"/>
      </w:pPr>
      <w:rPr>
        <w:rFonts w:hint="eastAsia" w:ascii="宋体" w:hAnsi="宋体" w:eastAsia="宋体" w:cs="仿宋"/>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
    <w:nsid w:val="D52039C8"/>
    <w:multiLevelType w:val="singleLevel"/>
    <w:tmpl w:val="D52039C8"/>
    <w:lvl w:ilvl="0" w:tentative="0">
      <w:start w:val="3"/>
      <w:numFmt w:val="decimal"/>
      <w:lvlText w:val="%1."/>
      <w:lvlJc w:val="left"/>
      <w:pPr>
        <w:tabs>
          <w:tab w:val="left" w:pos="312"/>
        </w:tabs>
      </w:pPr>
    </w:lvl>
  </w:abstractNum>
  <w:abstractNum w:abstractNumId="2">
    <w:nsid w:val="050DA8F1"/>
    <w:multiLevelType w:val="singleLevel"/>
    <w:tmpl w:val="050DA8F1"/>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OWQyNzdlYWU5M2YyNzczNmRlZjFkNDVjZWMxNGQifQ=="/>
  </w:docVars>
  <w:rsids>
    <w:rsidRoot w:val="1ACA360D"/>
    <w:rsid w:val="007717C2"/>
    <w:rsid w:val="01431A4A"/>
    <w:rsid w:val="028E4732"/>
    <w:rsid w:val="02C92423"/>
    <w:rsid w:val="03265180"/>
    <w:rsid w:val="036D7252"/>
    <w:rsid w:val="03742054"/>
    <w:rsid w:val="04583A5F"/>
    <w:rsid w:val="04826D2E"/>
    <w:rsid w:val="0494259D"/>
    <w:rsid w:val="04BD7D66"/>
    <w:rsid w:val="0512007B"/>
    <w:rsid w:val="05340028"/>
    <w:rsid w:val="055D1B3F"/>
    <w:rsid w:val="05AF01F7"/>
    <w:rsid w:val="05BA6F95"/>
    <w:rsid w:val="06053772"/>
    <w:rsid w:val="061E5687"/>
    <w:rsid w:val="072658B5"/>
    <w:rsid w:val="07EC569D"/>
    <w:rsid w:val="07FD356E"/>
    <w:rsid w:val="08055CAB"/>
    <w:rsid w:val="08AC1E9F"/>
    <w:rsid w:val="091D2944"/>
    <w:rsid w:val="094B74DC"/>
    <w:rsid w:val="09E8472B"/>
    <w:rsid w:val="0AF81AF7"/>
    <w:rsid w:val="0BC53CE2"/>
    <w:rsid w:val="0C4274CE"/>
    <w:rsid w:val="0D166265"/>
    <w:rsid w:val="0D3C0F87"/>
    <w:rsid w:val="0D5D3E94"/>
    <w:rsid w:val="0E2F75DE"/>
    <w:rsid w:val="0E3E1F17"/>
    <w:rsid w:val="0E6A4ABA"/>
    <w:rsid w:val="0EE54565"/>
    <w:rsid w:val="0FED14FF"/>
    <w:rsid w:val="112260EC"/>
    <w:rsid w:val="126F08F1"/>
    <w:rsid w:val="12C0739F"/>
    <w:rsid w:val="13315BA7"/>
    <w:rsid w:val="13685340"/>
    <w:rsid w:val="139B5716"/>
    <w:rsid w:val="1525173B"/>
    <w:rsid w:val="15273705"/>
    <w:rsid w:val="152754B3"/>
    <w:rsid w:val="158900E3"/>
    <w:rsid w:val="15E62031"/>
    <w:rsid w:val="164F4B0E"/>
    <w:rsid w:val="172609C6"/>
    <w:rsid w:val="172F4AF3"/>
    <w:rsid w:val="17CC7129"/>
    <w:rsid w:val="180A4C18"/>
    <w:rsid w:val="18C33745"/>
    <w:rsid w:val="19120228"/>
    <w:rsid w:val="1A004716"/>
    <w:rsid w:val="1A3E5162"/>
    <w:rsid w:val="1A7D3DC7"/>
    <w:rsid w:val="1ACA360D"/>
    <w:rsid w:val="1ADC0AEE"/>
    <w:rsid w:val="1B1A7868"/>
    <w:rsid w:val="1BD96714"/>
    <w:rsid w:val="1C890801"/>
    <w:rsid w:val="1CF77E61"/>
    <w:rsid w:val="1D2624F4"/>
    <w:rsid w:val="1F004D2E"/>
    <w:rsid w:val="1F453D1E"/>
    <w:rsid w:val="1F59095F"/>
    <w:rsid w:val="1F86727A"/>
    <w:rsid w:val="1FE53BC7"/>
    <w:rsid w:val="207E61A3"/>
    <w:rsid w:val="21ED538F"/>
    <w:rsid w:val="22507B57"/>
    <w:rsid w:val="22B20386"/>
    <w:rsid w:val="22C5630B"/>
    <w:rsid w:val="23733FB9"/>
    <w:rsid w:val="23955CDE"/>
    <w:rsid w:val="23B92805"/>
    <w:rsid w:val="244B45EE"/>
    <w:rsid w:val="251946ED"/>
    <w:rsid w:val="253F4091"/>
    <w:rsid w:val="25BA5ED0"/>
    <w:rsid w:val="275B0A3D"/>
    <w:rsid w:val="27A6495D"/>
    <w:rsid w:val="28602A2B"/>
    <w:rsid w:val="28BA1D43"/>
    <w:rsid w:val="28E13773"/>
    <w:rsid w:val="29244625"/>
    <w:rsid w:val="294A1318"/>
    <w:rsid w:val="29CE79AB"/>
    <w:rsid w:val="2B1C6CE5"/>
    <w:rsid w:val="2B6A0C72"/>
    <w:rsid w:val="2BDF043E"/>
    <w:rsid w:val="2C525535"/>
    <w:rsid w:val="2ED50E10"/>
    <w:rsid w:val="2F683E67"/>
    <w:rsid w:val="302C533B"/>
    <w:rsid w:val="31CF5C1D"/>
    <w:rsid w:val="31E4154A"/>
    <w:rsid w:val="31F041C4"/>
    <w:rsid w:val="32543208"/>
    <w:rsid w:val="33B54E5D"/>
    <w:rsid w:val="33D8341D"/>
    <w:rsid w:val="33F22CD8"/>
    <w:rsid w:val="34A749EE"/>
    <w:rsid w:val="35A25C9B"/>
    <w:rsid w:val="35E5565D"/>
    <w:rsid w:val="361A4FED"/>
    <w:rsid w:val="36CE17DB"/>
    <w:rsid w:val="370D205E"/>
    <w:rsid w:val="37B4019C"/>
    <w:rsid w:val="37CA74F9"/>
    <w:rsid w:val="37CD3840"/>
    <w:rsid w:val="37F94635"/>
    <w:rsid w:val="383E473E"/>
    <w:rsid w:val="392842AB"/>
    <w:rsid w:val="39405911"/>
    <w:rsid w:val="397D1296"/>
    <w:rsid w:val="39D52E80"/>
    <w:rsid w:val="3A856654"/>
    <w:rsid w:val="3B2B5D12"/>
    <w:rsid w:val="3B5D4EDB"/>
    <w:rsid w:val="3B702E61"/>
    <w:rsid w:val="3B8B1A48"/>
    <w:rsid w:val="3B914B85"/>
    <w:rsid w:val="3BE86E9B"/>
    <w:rsid w:val="3CCD6091"/>
    <w:rsid w:val="3CD2476A"/>
    <w:rsid w:val="3D0575D8"/>
    <w:rsid w:val="3D0D2931"/>
    <w:rsid w:val="3DF56C47"/>
    <w:rsid w:val="3E104487"/>
    <w:rsid w:val="3EA64DEB"/>
    <w:rsid w:val="3EE85404"/>
    <w:rsid w:val="3F0F7DFC"/>
    <w:rsid w:val="3F8213B4"/>
    <w:rsid w:val="40552625"/>
    <w:rsid w:val="405D597D"/>
    <w:rsid w:val="4246496D"/>
    <w:rsid w:val="42902152"/>
    <w:rsid w:val="43413334"/>
    <w:rsid w:val="44A1408B"/>
    <w:rsid w:val="44DF49AB"/>
    <w:rsid w:val="452B604A"/>
    <w:rsid w:val="458B0897"/>
    <w:rsid w:val="461070BE"/>
    <w:rsid w:val="46787B82"/>
    <w:rsid w:val="46D52711"/>
    <w:rsid w:val="474D04FA"/>
    <w:rsid w:val="47B02837"/>
    <w:rsid w:val="48C61172"/>
    <w:rsid w:val="48C77E38"/>
    <w:rsid w:val="48CB5B7A"/>
    <w:rsid w:val="48F5212B"/>
    <w:rsid w:val="497418F4"/>
    <w:rsid w:val="49865F45"/>
    <w:rsid w:val="49A62143"/>
    <w:rsid w:val="4A203CA4"/>
    <w:rsid w:val="4ABA5EA6"/>
    <w:rsid w:val="4AC40AD3"/>
    <w:rsid w:val="4B313C8F"/>
    <w:rsid w:val="4B6B0F4E"/>
    <w:rsid w:val="4B9B38DE"/>
    <w:rsid w:val="4C755B57"/>
    <w:rsid w:val="4CF11927"/>
    <w:rsid w:val="4DCD4142"/>
    <w:rsid w:val="4DDA7F7C"/>
    <w:rsid w:val="4E600B13"/>
    <w:rsid w:val="4E712D20"/>
    <w:rsid w:val="4EEB31C1"/>
    <w:rsid w:val="4FCB5FB2"/>
    <w:rsid w:val="500B0F52"/>
    <w:rsid w:val="505E72D4"/>
    <w:rsid w:val="50C03AEB"/>
    <w:rsid w:val="516E1798"/>
    <w:rsid w:val="51A67184"/>
    <w:rsid w:val="522D51B0"/>
    <w:rsid w:val="528F202D"/>
    <w:rsid w:val="52A25112"/>
    <w:rsid w:val="53034162"/>
    <w:rsid w:val="53D004E8"/>
    <w:rsid w:val="54A61249"/>
    <w:rsid w:val="54F621D1"/>
    <w:rsid w:val="55945546"/>
    <w:rsid w:val="55A75252"/>
    <w:rsid w:val="56C8194B"/>
    <w:rsid w:val="57911D3D"/>
    <w:rsid w:val="57FB18AC"/>
    <w:rsid w:val="586E02D0"/>
    <w:rsid w:val="594350C6"/>
    <w:rsid w:val="59527BF2"/>
    <w:rsid w:val="598853C1"/>
    <w:rsid w:val="5A4B6B1B"/>
    <w:rsid w:val="5ACC7530"/>
    <w:rsid w:val="5B242EC8"/>
    <w:rsid w:val="5C6774D0"/>
    <w:rsid w:val="5CF54B1C"/>
    <w:rsid w:val="5D3F223B"/>
    <w:rsid w:val="5D4E06D0"/>
    <w:rsid w:val="5DEF58DB"/>
    <w:rsid w:val="5E316028"/>
    <w:rsid w:val="5F155949"/>
    <w:rsid w:val="5FF4555F"/>
    <w:rsid w:val="5FFB4B3F"/>
    <w:rsid w:val="60B60A66"/>
    <w:rsid w:val="6179520E"/>
    <w:rsid w:val="618172C6"/>
    <w:rsid w:val="61C77F4D"/>
    <w:rsid w:val="61ED04B8"/>
    <w:rsid w:val="626764BC"/>
    <w:rsid w:val="630A2F55"/>
    <w:rsid w:val="63E1229E"/>
    <w:rsid w:val="64D67BCE"/>
    <w:rsid w:val="64F8164D"/>
    <w:rsid w:val="64F8789F"/>
    <w:rsid w:val="651E4E2C"/>
    <w:rsid w:val="65551782"/>
    <w:rsid w:val="658729D1"/>
    <w:rsid w:val="65C14135"/>
    <w:rsid w:val="65CC59A3"/>
    <w:rsid w:val="65EA02AB"/>
    <w:rsid w:val="66027411"/>
    <w:rsid w:val="66466D22"/>
    <w:rsid w:val="67044388"/>
    <w:rsid w:val="675E0EE9"/>
    <w:rsid w:val="689D3399"/>
    <w:rsid w:val="692D1AE1"/>
    <w:rsid w:val="694F1A58"/>
    <w:rsid w:val="69A26810"/>
    <w:rsid w:val="6AA336F8"/>
    <w:rsid w:val="6AB159AD"/>
    <w:rsid w:val="6AE54422"/>
    <w:rsid w:val="6B5C220A"/>
    <w:rsid w:val="6BB65DBE"/>
    <w:rsid w:val="6C0B435C"/>
    <w:rsid w:val="6C4433CA"/>
    <w:rsid w:val="6C692E30"/>
    <w:rsid w:val="6CD93A34"/>
    <w:rsid w:val="6E9F0D8B"/>
    <w:rsid w:val="6EB32A89"/>
    <w:rsid w:val="6EC627BC"/>
    <w:rsid w:val="6EC66318"/>
    <w:rsid w:val="6FEA24DA"/>
    <w:rsid w:val="71CE58C0"/>
    <w:rsid w:val="721C2EA3"/>
    <w:rsid w:val="72431B05"/>
    <w:rsid w:val="738844E4"/>
    <w:rsid w:val="73A3131E"/>
    <w:rsid w:val="73FC458A"/>
    <w:rsid w:val="740C62FA"/>
    <w:rsid w:val="74566390"/>
    <w:rsid w:val="74D5034D"/>
    <w:rsid w:val="758938E4"/>
    <w:rsid w:val="75E1612D"/>
    <w:rsid w:val="773D3837"/>
    <w:rsid w:val="77B80B76"/>
    <w:rsid w:val="783224F8"/>
    <w:rsid w:val="79020895"/>
    <w:rsid w:val="7AB827A3"/>
    <w:rsid w:val="7AD1051F"/>
    <w:rsid w:val="7BAC2D3A"/>
    <w:rsid w:val="7BC65BA9"/>
    <w:rsid w:val="7C211BE0"/>
    <w:rsid w:val="7C5238E1"/>
    <w:rsid w:val="7D6C09D3"/>
    <w:rsid w:val="7DA261A2"/>
    <w:rsid w:val="7E09286B"/>
    <w:rsid w:val="7F14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numPr>
        <w:ilvl w:val="2"/>
        <w:numId w:val="1"/>
      </w:numPr>
      <w:spacing w:before="156" w:after="156"/>
      <w:outlineLvl w:val="2"/>
    </w:pPr>
    <w:rPr>
      <w:rFonts w:ascii="Times New Roman" w:hAnsi="Times New Roman" w:cs="Times New Roman"/>
      <w:b/>
      <w:sz w:val="28"/>
      <w:szCs w:val="20"/>
    </w:rPr>
  </w:style>
  <w:style w:type="paragraph" w:styleId="5">
    <w:name w:val="heading 4"/>
    <w:basedOn w:val="1"/>
    <w:next w:val="1"/>
    <w:autoRedefine/>
    <w:qFormat/>
    <w:uiPriority w:val="0"/>
    <w:pPr>
      <w:keepNext/>
      <w:keepLines/>
      <w:numPr>
        <w:ilvl w:val="3"/>
        <w:numId w:val="1"/>
      </w:numPr>
      <w:spacing w:before="156" w:after="156"/>
      <w:outlineLvl w:val="3"/>
    </w:pPr>
    <w:rPr>
      <w:rFonts w:ascii="Times New Roman" w:hAnsi="Times New Roman" w:cs="Times New Roman"/>
      <w:b/>
      <w:sz w:val="28"/>
      <w:szCs w:val="20"/>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7"/>
    <w:autoRedefine/>
    <w:qFormat/>
    <w:uiPriority w:val="0"/>
    <w:pPr>
      <w:widowControl/>
      <w:jc w:val="left"/>
    </w:pPr>
    <w:rPr>
      <w:rFonts w:ascii="Times New Roman" w:hAnsi="Times New Roman" w:eastAsia="宋体" w:cs="Times New Roman"/>
      <w:kern w:val="0"/>
    </w:rPr>
  </w:style>
  <w:style w:type="paragraph" w:styleId="7">
    <w:name w:val="toc 2"/>
    <w:basedOn w:val="1"/>
    <w:next w:val="1"/>
    <w:autoRedefine/>
    <w:qFormat/>
    <w:uiPriority w:val="0"/>
    <w:pPr>
      <w:widowControl/>
      <w:spacing w:after="100" w:line="276" w:lineRule="auto"/>
      <w:ind w:left="220"/>
      <w:jc w:val="left"/>
    </w:pPr>
    <w:rPr>
      <w:rFonts w:ascii="Times New Roman" w:hAnsi="Times New Roman" w:eastAsia="宋体" w:cs="Times New Roman"/>
      <w:kern w:val="0"/>
      <w:sz w:val="22"/>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6"/>
    <w:next w:val="1"/>
    <w:autoRedefine/>
    <w:qFormat/>
    <w:uiPriority w:val="0"/>
    <w:pPr>
      <w:widowControl w:val="0"/>
      <w:spacing w:line="360" w:lineRule="auto"/>
      <w:ind w:left="1050" w:firstLine="964" w:firstLineChars="200"/>
    </w:pPr>
    <w:rPr>
      <w:rFonts w:ascii="仿宋_GB2312" w:hAnsi="宋体" w:eastAsia="仿宋_GB2312" w:cs="宋体"/>
      <w:kern w:val="2"/>
      <w:sz w:val="18"/>
      <w:szCs w:val="18"/>
      <w:lang w:val="en-US" w:eastAsia="zh-CN" w:bidi="ar-SA"/>
    </w:rPr>
  </w:style>
  <w:style w:type="paragraph" w:styleId="10">
    <w:name w:val="Normal (Web)"/>
    <w:basedOn w:val="1"/>
    <w:autoRedefine/>
    <w:qFormat/>
    <w:uiPriority w:val="0"/>
    <w:rPr>
      <w:sz w:val="24"/>
    </w:rPr>
  </w:style>
  <w:style w:type="paragraph" w:styleId="11">
    <w:name w:val="Body Text First Indent"/>
    <w:basedOn w:val="6"/>
    <w:autoRedefine/>
    <w:unhideWhenUsed/>
    <w:qFormat/>
    <w:uiPriority w:val="99"/>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51"/>
    <w:basedOn w:val="14"/>
    <w:autoRedefine/>
    <w:qFormat/>
    <w:uiPriority w:val="0"/>
    <w:rPr>
      <w:rFonts w:hint="default" w:ascii="Times New Roman" w:hAnsi="Times New Roman" w:cs="Times New Roman"/>
      <w:color w:val="000000"/>
      <w:sz w:val="20"/>
      <w:szCs w:val="20"/>
      <w:u w:val="none"/>
    </w:rPr>
  </w:style>
  <w:style w:type="paragraph" w:customStyle="1" w:styleId="16">
    <w:name w:val="p0"/>
    <w:basedOn w:val="1"/>
    <w:autoRedefine/>
    <w:qFormat/>
    <w:uiPriority w:val="0"/>
    <w:rPr>
      <w:rFonts w:ascii="Times New Roman" w:hAnsi="Times New Roman" w:eastAsia="宋体" w:cs="Times New Roman"/>
      <w:szCs w:val="21"/>
    </w:rPr>
  </w:style>
  <w:style w:type="paragraph" w:customStyle="1" w:styleId="17">
    <w:name w:val="p16"/>
    <w:basedOn w:val="1"/>
    <w:autoRedefine/>
    <w:qFormat/>
    <w:uiPriority w:val="0"/>
    <w:rPr>
      <w:rFonts w:ascii="Times New Roman" w:hAnsi="Times New Roman" w:eastAsia="宋体" w:cs="Times New Roman"/>
      <w:szCs w:val="21"/>
    </w:rPr>
  </w:style>
  <w:style w:type="paragraph" w:customStyle="1" w:styleId="18">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19">
    <w:name w:val="Table Paragraph"/>
    <w:basedOn w:val="1"/>
    <w:autoRedefine/>
    <w:qFormat/>
    <w:uiPriority w:val="1"/>
    <w:pPr>
      <w:autoSpaceDE w:val="0"/>
      <w:autoSpaceDN w:val="0"/>
      <w:spacing w:line="284" w:lineRule="exact"/>
      <w:ind w:left="107"/>
      <w:jc w:val="left"/>
    </w:pPr>
    <w:rPr>
      <w:rFonts w:ascii="宋体" w:hAnsi="宋体" w:eastAsia="宋体" w:cs="宋体"/>
      <w:kern w:val="0"/>
      <w:sz w:val="22"/>
    </w:rPr>
  </w:style>
  <w:style w:type="table" w:customStyle="1" w:styleId="20">
    <w:name w:val="Table Normal"/>
    <w:autoRedefine/>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21">
    <w:name w:val="段"/>
    <w:basedOn w:val="1"/>
    <w:autoRedefine/>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22">
    <w:name w:val="font01"/>
    <w:basedOn w:val="14"/>
    <w:autoRedefine/>
    <w:qFormat/>
    <w:uiPriority w:val="0"/>
    <w:rPr>
      <w:rFonts w:hint="eastAsia" w:ascii="宋体" w:hAnsi="宋体" w:eastAsia="宋体" w:cs="宋体"/>
      <w:color w:val="000000"/>
      <w:sz w:val="22"/>
      <w:szCs w:val="22"/>
      <w:u w:val="none"/>
    </w:rPr>
  </w:style>
  <w:style w:type="character" w:customStyle="1" w:styleId="23">
    <w:name w:val="font61"/>
    <w:basedOn w:val="14"/>
    <w:autoRedefine/>
    <w:qFormat/>
    <w:uiPriority w:val="0"/>
    <w:rPr>
      <w:rFonts w:hint="eastAsia" w:ascii="宋体" w:hAnsi="宋体" w:eastAsia="宋体" w:cs="宋体"/>
      <w:color w:val="000000"/>
      <w:sz w:val="20"/>
      <w:szCs w:val="20"/>
      <w:u w:val="none"/>
    </w:rPr>
  </w:style>
  <w:style w:type="paragraph" w:customStyle="1" w:styleId="24">
    <w:name w:val="列表段落1"/>
    <w:basedOn w:val="1"/>
    <w:autoRedefine/>
    <w:qFormat/>
    <w:uiPriority w:val="34"/>
    <w:pPr>
      <w:ind w:firstLine="420" w:firstLineChars="200"/>
    </w:pPr>
  </w:style>
  <w:style w:type="paragraph" w:customStyle="1" w:styleId="2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6">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character" w:customStyle="1" w:styleId="27">
    <w:name w:val="标题 1 Char1"/>
    <w:autoRedefine/>
    <w:qFormat/>
    <w:uiPriority w:val="0"/>
    <w:rPr>
      <w:rFonts w:ascii="Times New Roman" w:hAnsi="Times New Roman" w:eastAsia="宋体" w:cs="Times New Roman"/>
      <w:b/>
      <w:bCs/>
      <w:kern w:val="44"/>
      <w:sz w:val="32"/>
      <w:szCs w:val="44"/>
    </w:rPr>
  </w:style>
  <w:style w:type="table" w:customStyle="1" w:styleId="28">
    <w:name w:val="表"/>
    <w:basedOn w:val="12"/>
    <w:autoRedefine/>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paragraph" w:customStyle="1" w:styleId="29">
    <w:name w:val="04-正文"/>
    <w:basedOn w:val="1"/>
    <w:autoRedefine/>
    <w:qFormat/>
    <w:uiPriority w:val="0"/>
    <w:pPr>
      <w:widowControl w:val="0"/>
      <w:ind w:firstLine="482" w:firstLineChars="0"/>
      <w:jc w:val="both"/>
    </w:pPr>
    <w:rPr>
      <w:rFonts w:cstheme="minorBidi"/>
      <w:szCs w:val="22"/>
    </w:rPr>
  </w:style>
  <w:style w:type="paragraph" w:customStyle="1" w:styleId="30">
    <w:name w:val="正文1"/>
    <w:autoRedefine/>
    <w:qFormat/>
    <w:uiPriority w:val="0"/>
    <w:pPr>
      <w:spacing w:line="360" w:lineRule="auto"/>
      <w:ind w:firstLine="200" w:firstLineChars="200"/>
    </w:pPr>
    <w:rPr>
      <w:rFonts w:ascii="宋体" w:hAnsi="宋体" w:eastAsia="宋体" w:cs="宋体"/>
      <w:kern w:val="2"/>
      <w:sz w:val="24"/>
      <w:szCs w:val="24"/>
      <w:lang w:val="en-US" w:eastAsia="zh-CN" w:bidi="ar-SA"/>
    </w:rPr>
  </w:style>
  <w:style w:type="character" w:customStyle="1" w:styleId="31">
    <w:name w:val="font11"/>
    <w:basedOn w:val="14"/>
    <w:autoRedefine/>
    <w:qFormat/>
    <w:uiPriority w:val="0"/>
    <w:rPr>
      <w:rFonts w:hint="eastAsia" w:ascii="微软雅黑" w:hAnsi="微软雅黑" w:eastAsia="微软雅黑" w:cs="微软雅黑"/>
      <w:color w:val="000000"/>
      <w:sz w:val="24"/>
      <w:szCs w:val="24"/>
      <w:u w:val="none"/>
    </w:rPr>
  </w:style>
  <w:style w:type="paragraph" w:customStyle="1" w:styleId="32">
    <w:name w:val="无间隔1"/>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522</Words>
  <Characters>536</Characters>
  <Lines>0</Lines>
  <Paragraphs>0</Paragraphs>
  <TotalTime>3</TotalTime>
  <ScaleCrop>false</ScaleCrop>
  <LinksUpToDate>false</LinksUpToDate>
  <CharactersWithSpaces>656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茉晴</cp:lastModifiedBy>
  <cp:lastPrinted>2025-05-21T01:33:00Z</cp:lastPrinted>
  <dcterms:modified xsi:type="dcterms:W3CDTF">2025-05-30T00:42:50Z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F494A0F38D754290A7272E289738372E</vt:lpwstr>
  </property>
  <property fmtid="{D5CDD505-2E9C-101B-9397-08002B2CF9AE}" pid="4" name="KSOTemplateDocerSaveRecord">
    <vt:lpwstr>eyJoZGlkIjoiOGNmOWQyNzdlYWU5M2YyNzczNmRlZjFkNDVjZWMxNGQiLCJ1c2VySWQiOiI0MDQ5MDgzNDMifQ==</vt:lpwstr>
  </property>
</Properties>
</file>