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jc w:val="left"/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646C75AE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保亭黎族苗族自治县人民医院</w:t>
      </w:r>
    </w:p>
    <w:p w14:paraId="39B705FA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（保亭黎族苗族自治县医疗集团总医院）</w:t>
      </w:r>
    </w:p>
    <w:p w14:paraId="633ADF17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消防系统设施设备维保托管服务项目市场询价清单</w:t>
      </w:r>
    </w:p>
    <w:p w14:paraId="69BB6878">
      <w:pPr>
        <w:rPr>
          <w:rFonts w:hint="eastAsia"/>
          <w:sz w:val="32"/>
          <w:szCs w:val="32"/>
          <w:lang w:val="en-US" w:eastAsia="zh-CN"/>
        </w:rPr>
      </w:pPr>
    </w:p>
    <w:p w14:paraId="7C2DFA72">
      <w:pPr>
        <w:pStyle w:val="3"/>
        <w:pageBreakBefore w:val="0"/>
        <w:widowControl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jc w:val="left"/>
        <w:textAlignment w:val="auto"/>
        <w:rPr>
          <w:rStyle w:val="2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26"/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一、维保项目清单</w:t>
      </w:r>
    </w:p>
    <w:tbl>
      <w:tblPr>
        <w:tblStyle w:val="1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76"/>
        <w:gridCol w:w="4683"/>
        <w:gridCol w:w="1020"/>
      </w:tblGrid>
      <w:tr w14:paraId="4517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7BF868E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部     位</w:t>
            </w:r>
          </w:p>
        </w:tc>
        <w:tc>
          <w:tcPr>
            <w:tcW w:w="2579" w:type="pct"/>
            <w:noWrap w:val="0"/>
            <w:vAlign w:val="top"/>
          </w:tcPr>
          <w:p w14:paraId="58EE4C4D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维 保 内 容 及 要 求</w:t>
            </w:r>
          </w:p>
        </w:tc>
        <w:tc>
          <w:tcPr>
            <w:tcW w:w="561" w:type="pct"/>
            <w:noWrap w:val="0"/>
            <w:vAlign w:val="top"/>
          </w:tcPr>
          <w:p w14:paraId="438387BA">
            <w:pPr>
              <w:spacing w:line="480" w:lineRule="auto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周  期</w:t>
            </w:r>
          </w:p>
        </w:tc>
      </w:tr>
      <w:tr w14:paraId="07A03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58DB0D7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探测器</w:t>
            </w:r>
          </w:p>
        </w:tc>
        <w:tc>
          <w:tcPr>
            <w:tcW w:w="2579" w:type="pct"/>
            <w:noWrap w:val="0"/>
            <w:vAlign w:val="top"/>
          </w:tcPr>
          <w:p w14:paraId="46B6F64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测试动作及确认灯显示</w:t>
            </w:r>
          </w:p>
        </w:tc>
        <w:tc>
          <w:tcPr>
            <w:tcW w:w="561" w:type="pct"/>
            <w:noWrap w:val="0"/>
            <w:vAlign w:val="top"/>
          </w:tcPr>
          <w:p w14:paraId="54BB09B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03743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23C2AFD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备用电源</w:t>
            </w:r>
          </w:p>
        </w:tc>
        <w:tc>
          <w:tcPr>
            <w:tcW w:w="2579" w:type="pct"/>
            <w:noWrap w:val="0"/>
            <w:vAlign w:val="top"/>
          </w:tcPr>
          <w:p w14:paraId="6201273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充放电及自动切换</w:t>
            </w:r>
          </w:p>
        </w:tc>
        <w:tc>
          <w:tcPr>
            <w:tcW w:w="561" w:type="pct"/>
            <w:noWrap w:val="0"/>
            <w:vAlign w:val="top"/>
          </w:tcPr>
          <w:p w14:paraId="221D527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333B8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4B98E58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室内消火栓</w:t>
            </w:r>
          </w:p>
        </w:tc>
        <w:tc>
          <w:tcPr>
            <w:tcW w:w="2579" w:type="pct"/>
            <w:noWrap w:val="0"/>
            <w:vAlign w:val="top"/>
          </w:tcPr>
          <w:p w14:paraId="645F5F2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按钮、自动起动</w:t>
            </w:r>
          </w:p>
        </w:tc>
        <w:tc>
          <w:tcPr>
            <w:tcW w:w="561" w:type="pct"/>
            <w:noWrap w:val="0"/>
            <w:vAlign w:val="top"/>
          </w:tcPr>
          <w:p w14:paraId="79230EC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7315D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5D232A4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火灾事故广播</w:t>
            </w:r>
          </w:p>
        </w:tc>
        <w:tc>
          <w:tcPr>
            <w:tcW w:w="2579" w:type="pct"/>
            <w:noWrap w:val="0"/>
            <w:vAlign w:val="top"/>
          </w:tcPr>
          <w:p w14:paraId="5E48DC5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正常播放</w:t>
            </w:r>
          </w:p>
        </w:tc>
        <w:tc>
          <w:tcPr>
            <w:tcW w:w="561" w:type="pct"/>
            <w:noWrap w:val="0"/>
            <w:vAlign w:val="top"/>
          </w:tcPr>
          <w:p w14:paraId="104C68D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03259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59B16D1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火灾事故照明</w:t>
            </w:r>
          </w:p>
        </w:tc>
        <w:tc>
          <w:tcPr>
            <w:tcW w:w="2579" w:type="pct"/>
            <w:noWrap w:val="0"/>
            <w:vAlign w:val="top"/>
          </w:tcPr>
          <w:p w14:paraId="433E8CC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正常工作</w:t>
            </w:r>
          </w:p>
        </w:tc>
        <w:tc>
          <w:tcPr>
            <w:tcW w:w="561" w:type="pct"/>
            <w:noWrap w:val="0"/>
            <w:vAlign w:val="top"/>
          </w:tcPr>
          <w:p w14:paraId="17B40D73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226A4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31FD7BE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疏散指示</w:t>
            </w:r>
          </w:p>
        </w:tc>
        <w:tc>
          <w:tcPr>
            <w:tcW w:w="2579" w:type="pct"/>
            <w:noWrap w:val="0"/>
            <w:vAlign w:val="top"/>
          </w:tcPr>
          <w:p w14:paraId="1A7BC42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正常工作</w:t>
            </w:r>
          </w:p>
        </w:tc>
        <w:tc>
          <w:tcPr>
            <w:tcW w:w="561" w:type="pct"/>
            <w:noWrap w:val="0"/>
            <w:vAlign w:val="top"/>
          </w:tcPr>
          <w:p w14:paraId="2E5D094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2F196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7CA6673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消防电梯</w:t>
            </w:r>
          </w:p>
        </w:tc>
        <w:tc>
          <w:tcPr>
            <w:tcW w:w="2579" w:type="pct"/>
            <w:noWrap w:val="0"/>
            <w:vAlign w:val="top"/>
          </w:tcPr>
          <w:p w14:paraId="6FF0274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强制停于首层</w:t>
            </w:r>
          </w:p>
        </w:tc>
        <w:tc>
          <w:tcPr>
            <w:tcW w:w="561" w:type="pct"/>
            <w:noWrap w:val="0"/>
            <w:vAlign w:val="top"/>
          </w:tcPr>
          <w:p w14:paraId="1259D12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58F8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18EB67BF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消防通讯</w:t>
            </w:r>
          </w:p>
        </w:tc>
        <w:tc>
          <w:tcPr>
            <w:tcW w:w="2579" w:type="pct"/>
            <w:noWrap w:val="0"/>
            <w:vAlign w:val="top"/>
          </w:tcPr>
          <w:p w14:paraId="0A5D1C6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正常工作</w:t>
            </w:r>
          </w:p>
        </w:tc>
        <w:tc>
          <w:tcPr>
            <w:tcW w:w="561" w:type="pct"/>
            <w:noWrap w:val="0"/>
            <w:vAlign w:val="top"/>
          </w:tcPr>
          <w:p w14:paraId="6113936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7CFE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649406F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非消防电源</w:t>
            </w:r>
          </w:p>
        </w:tc>
        <w:tc>
          <w:tcPr>
            <w:tcW w:w="2579" w:type="pct"/>
            <w:noWrap w:val="0"/>
            <w:vAlign w:val="top"/>
          </w:tcPr>
          <w:p w14:paraId="648B30E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强制毁断试验</w:t>
            </w:r>
          </w:p>
        </w:tc>
        <w:tc>
          <w:tcPr>
            <w:tcW w:w="561" w:type="pct"/>
            <w:noWrap w:val="0"/>
            <w:vAlign w:val="top"/>
          </w:tcPr>
          <w:p w14:paraId="2DE56C1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6D20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4728060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水源</w:t>
            </w:r>
          </w:p>
        </w:tc>
        <w:tc>
          <w:tcPr>
            <w:tcW w:w="2579" w:type="pct"/>
            <w:noWrap w:val="0"/>
            <w:vAlign w:val="top"/>
          </w:tcPr>
          <w:p w14:paraId="5000D19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测试供水能力</w:t>
            </w:r>
          </w:p>
        </w:tc>
        <w:tc>
          <w:tcPr>
            <w:tcW w:w="561" w:type="pct"/>
            <w:noWrap w:val="0"/>
            <w:vAlign w:val="top"/>
          </w:tcPr>
          <w:p w14:paraId="57F8555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08DE1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859" w:type="pct"/>
            <w:noWrap w:val="0"/>
            <w:vAlign w:val="top"/>
          </w:tcPr>
          <w:p w14:paraId="6E56260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蓄水池、高位水箱</w:t>
            </w:r>
          </w:p>
        </w:tc>
        <w:tc>
          <w:tcPr>
            <w:tcW w:w="2579" w:type="pct"/>
            <w:noWrap w:val="0"/>
            <w:vAlign w:val="top"/>
          </w:tcPr>
          <w:p w14:paraId="75BD1D11">
            <w:pPr>
              <w:spacing w:line="480" w:lineRule="auto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检测水位及消防设备水不被它用的措施</w:t>
            </w:r>
          </w:p>
        </w:tc>
        <w:tc>
          <w:tcPr>
            <w:tcW w:w="561" w:type="pct"/>
            <w:noWrap w:val="0"/>
            <w:vAlign w:val="top"/>
          </w:tcPr>
          <w:p w14:paraId="6E8422D8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253B7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106E4A2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消防气压给水设备</w:t>
            </w:r>
          </w:p>
        </w:tc>
        <w:tc>
          <w:tcPr>
            <w:tcW w:w="2579" w:type="pct"/>
            <w:noWrap w:val="0"/>
            <w:vAlign w:val="top"/>
          </w:tcPr>
          <w:p w14:paraId="41178F1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检测气压、水位</w:t>
            </w:r>
          </w:p>
        </w:tc>
        <w:tc>
          <w:tcPr>
            <w:tcW w:w="561" w:type="pct"/>
            <w:noWrap w:val="0"/>
            <w:vAlign w:val="top"/>
          </w:tcPr>
          <w:p w14:paraId="10464E6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04E6A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10F4407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储水设备</w:t>
            </w:r>
          </w:p>
        </w:tc>
        <w:tc>
          <w:tcPr>
            <w:tcW w:w="2579" w:type="pct"/>
            <w:noWrap w:val="0"/>
            <w:vAlign w:val="top"/>
          </w:tcPr>
          <w:p w14:paraId="47F2C36B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检查结构材料</w:t>
            </w:r>
          </w:p>
        </w:tc>
        <w:tc>
          <w:tcPr>
            <w:tcW w:w="561" w:type="pct"/>
            <w:noWrap w:val="0"/>
            <w:vAlign w:val="top"/>
          </w:tcPr>
          <w:p w14:paraId="7F6B9AC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534EE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23E13D7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电动消防水泵</w:t>
            </w:r>
          </w:p>
        </w:tc>
        <w:tc>
          <w:tcPr>
            <w:tcW w:w="2579" w:type="pct"/>
            <w:noWrap w:val="0"/>
            <w:vAlign w:val="top"/>
          </w:tcPr>
          <w:p w14:paraId="7EED44D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启动试运转</w:t>
            </w:r>
          </w:p>
        </w:tc>
        <w:tc>
          <w:tcPr>
            <w:tcW w:w="561" w:type="pct"/>
            <w:noWrap w:val="0"/>
            <w:vAlign w:val="top"/>
          </w:tcPr>
          <w:p w14:paraId="6399C81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472A7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26AFFEC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水源控制阀、报警控制装置</w:t>
            </w:r>
          </w:p>
        </w:tc>
        <w:tc>
          <w:tcPr>
            <w:tcW w:w="2579" w:type="pct"/>
            <w:noWrap w:val="0"/>
            <w:vAlign w:val="top"/>
          </w:tcPr>
          <w:p w14:paraId="10DB3B3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完好状况及开闭位置</w:t>
            </w:r>
          </w:p>
        </w:tc>
        <w:tc>
          <w:tcPr>
            <w:tcW w:w="561" w:type="pct"/>
            <w:noWrap w:val="0"/>
            <w:vAlign w:val="top"/>
          </w:tcPr>
          <w:p w14:paraId="67675BE4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41DF8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2464711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系统所有控制阀门、电磁阀</w:t>
            </w:r>
          </w:p>
        </w:tc>
        <w:tc>
          <w:tcPr>
            <w:tcW w:w="2579" w:type="pct"/>
            <w:noWrap w:val="0"/>
            <w:vAlign w:val="top"/>
          </w:tcPr>
          <w:p w14:paraId="39F7C75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检查铅封、锁链完好状况</w:t>
            </w:r>
          </w:p>
        </w:tc>
        <w:tc>
          <w:tcPr>
            <w:tcW w:w="561" w:type="pct"/>
            <w:noWrap w:val="0"/>
            <w:vAlign w:val="top"/>
          </w:tcPr>
          <w:p w14:paraId="7D1B0B31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3ED2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189DC609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室外阀门井中控制阀门</w:t>
            </w:r>
          </w:p>
        </w:tc>
        <w:tc>
          <w:tcPr>
            <w:tcW w:w="2579" w:type="pct"/>
            <w:noWrap w:val="0"/>
            <w:vAlign w:val="top"/>
          </w:tcPr>
          <w:p w14:paraId="5540FCEA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检查开启状况</w:t>
            </w:r>
          </w:p>
        </w:tc>
        <w:tc>
          <w:tcPr>
            <w:tcW w:w="561" w:type="pct"/>
            <w:noWrap w:val="0"/>
            <w:vAlign w:val="top"/>
          </w:tcPr>
          <w:p w14:paraId="1428043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月</w:t>
            </w:r>
          </w:p>
        </w:tc>
      </w:tr>
      <w:tr w14:paraId="00F8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386D52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水泵接合器</w:t>
            </w:r>
          </w:p>
        </w:tc>
        <w:tc>
          <w:tcPr>
            <w:tcW w:w="2579" w:type="pct"/>
            <w:noWrap w:val="0"/>
            <w:vAlign w:val="top"/>
          </w:tcPr>
          <w:p w14:paraId="61B744A5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检查开启状况</w:t>
            </w:r>
          </w:p>
        </w:tc>
        <w:tc>
          <w:tcPr>
            <w:tcW w:w="561" w:type="pct"/>
            <w:noWrap w:val="0"/>
            <w:vAlign w:val="top"/>
          </w:tcPr>
          <w:p w14:paraId="36AF49D2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35579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064E219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控制台</w:t>
            </w:r>
          </w:p>
        </w:tc>
        <w:tc>
          <w:tcPr>
            <w:tcW w:w="2579" w:type="pct"/>
            <w:noWrap w:val="0"/>
            <w:vAlign w:val="top"/>
          </w:tcPr>
          <w:p w14:paraId="03FA7B9E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操作台功能测试</w:t>
            </w:r>
          </w:p>
        </w:tc>
        <w:tc>
          <w:tcPr>
            <w:tcW w:w="561" w:type="pct"/>
            <w:noWrap w:val="0"/>
            <w:vAlign w:val="top"/>
          </w:tcPr>
          <w:p w14:paraId="4F531D4D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5265B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475D35A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消防隔离帘</w:t>
            </w:r>
          </w:p>
        </w:tc>
        <w:tc>
          <w:tcPr>
            <w:tcW w:w="2579" w:type="pct"/>
            <w:noWrap w:val="0"/>
            <w:vAlign w:val="top"/>
          </w:tcPr>
          <w:p w14:paraId="501B642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启动试运转</w:t>
            </w:r>
          </w:p>
        </w:tc>
        <w:tc>
          <w:tcPr>
            <w:tcW w:w="561" w:type="pct"/>
            <w:noWrap w:val="0"/>
            <w:vAlign w:val="top"/>
          </w:tcPr>
          <w:p w14:paraId="32FF84A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01178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859" w:type="pct"/>
            <w:noWrap w:val="0"/>
            <w:vAlign w:val="top"/>
          </w:tcPr>
          <w:p w14:paraId="611AFD76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消防门</w:t>
            </w:r>
          </w:p>
        </w:tc>
        <w:tc>
          <w:tcPr>
            <w:tcW w:w="2579" w:type="pct"/>
            <w:noWrap w:val="0"/>
            <w:vAlign w:val="top"/>
          </w:tcPr>
          <w:p w14:paraId="4E480FC0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完好状况及开闭位置</w:t>
            </w:r>
          </w:p>
        </w:tc>
        <w:tc>
          <w:tcPr>
            <w:tcW w:w="561" w:type="pct"/>
            <w:noWrap w:val="0"/>
            <w:vAlign w:val="top"/>
          </w:tcPr>
          <w:p w14:paraId="6C4EAE0C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每月</w:t>
            </w:r>
          </w:p>
        </w:tc>
      </w:tr>
      <w:tr w14:paraId="3EA5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5000" w:type="pct"/>
            <w:gridSpan w:val="3"/>
            <w:noWrap w:val="0"/>
            <w:vAlign w:val="top"/>
          </w:tcPr>
          <w:p w14:paraId="28B25927"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大写：                     元整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，（小写）                元</w:t>
            </w:r>
          </w:p>
        </w:tc>
      </w:tr>
    </w:tbl>
    <w:p w14:paraId="3CC08359">
      <w:pPr>
        <w:jc w:val="center"/>
        <w:rPr>
          <w:rFonts w:hint="eastAsia"/>
          <w:lang w:val="en-US" w:eastAsia="zh-CN"/>
        </w:rPr>
      </w:pPr>
    </w:p>
    <w:p w14:paraId="323DCB3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注：上表为日常维护内容一览表，但并不仅限于以上内容，消防系统的一切设备的维修保养均在本次维保托管范围之内。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以上报价含税及包含维保期内服务过程中可能产生的其他费用。</w:t>
      </w:r>
    </w:p>
    <w:p w14:paraId="20E16F7E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、质量技术标准</w:t>
      </w:r>
    </w:p>
    <w:p w14:paraId="12EA9A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消防维保托管单位提供的服务有国家标准的应符合国家标准。无国家标准的应符合行业标准或企业标准。每季度提供相关设施设备等参数检测报告，确保设备平稳运行。</w:t>
      </w:r>
    </w:p>
    <w:p w14:paraId="2452392A">
      <w:pPr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、服务期限</w:t>
      </w:r>
    </w:p>
    <w:p w14:paraId="2D9880B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服务期限为叁年，合同一年一签</w:t>
      </w:r>
    </w:p>
    <w:p w14:paraId="3A1C6206">
      <w:pPr>
        <w:spacing w:line="360" w:lineRule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</w:rPr>
        <w:t>、维保费支付方式</w:t>
      </w:r>
    </w:p>
    <w:p w14:paraId="4A30117D">
      <w:pPr>
        <w:numPr>
          <w:ilvl w:val="0"/>
          <w:numId w:val="0"/>
        </w:numPr>
        <w:adjustRightInd w:val="0"/>
        <w:snapToGrid w:val="0"/>
        <w:spacing w:line="360" w:lineRule="auto"/>
        <w:ind w:left="560" w:leftChars="0"/>
        <w:rPr>
          <w:rFonts w:hint="eastAsia" w:ascii="仿宋_GB2312" w:hAnsi="仿宋_GB2312" w:eastAsia="仿宋_GB2312" w:cs="仿宋_GB2312"/>
          <w:color w:val="00000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双方签署合同生效后，每季度根据服务质量进行考核支付相关维保费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用。</w:t>
      </w:r>
    </w:p>
    <w:p w14:paraId="255A9430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532820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07CF5BE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D80158E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                       </w:t>
      </w:r>
    </w:p>
    <w:p w14:paraId="0C7FBEF1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CF14C0C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10D57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9C824B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</w:t>
      </w:r>
    </w:p>
    <w:p w14:paraId="26E7C08F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20BA7D3">
      <w:pPr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身份证号：                              </w:t>
      </w:r>
    </w:p>
    <w:p w14:paraId="4CEA9366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电    话：  </w:t>
      </w:r>
    </w:p>
    <w:p w14:paraId="69ADBD19">
      <w:pPr>
        <w:pStyle w:val="3"/>
        <w:pageBreakBefore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Chars="0"/>
        <w:rPr>
          <w:rFonts w:hint="eastAsia" w:ascii="宋体" w:hAnsi="宋体" w:eastAsia="宋体" w:cs="宋体"/>
          <w:b w:val="0"/>
          <w:bCs/>
          <w:sz w:val="24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日    期：2025年  月    日</w:t>
      </w:r>
    </w:p>
    <w:p w14:paraId="770F6E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/>
          <w:b/>
          <w:bCs/>
          <w:kern w:val="0"/>
          <w:sz w:val="28"/>
          <w:szCs w:val="28"/>
          <w:lang w:val="en-US" w:eastAsia="zh-CN"/>
        </w:rPr>
      </w:pPr>
    </w:p>
    <w:p w14:paraId="56F9E733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327" w:right="1519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9EF65C2-4E51-45EE-AB7A-10F37E9177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A2F9652-C82D-40E8-9B18-F586E3A1D83A}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  <w:embedRegular r:id="rId3" w:fontKey="{4E97D856-5A14-4835-8A67-D0BE4CFB3B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0020116F-AEBC-4448-AE72-8F91B42B076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82D022"/>
    <w:multiLevelType w:val="multilevel"/>
    <w:tmpl w:val="D282D022"/>
    <w:lvl w:ilvl="0" w:tentative="0">
      <w:start w:val="1"/>
      <w:numFmt w:val="chineseCounting"/>
      <w:lvlText w:val="%1、"/>
      <w:lvlJc w:val="left"/>
      <w:pPr>
        <w:ind w:left="432" w:hanging="432"/>
      </w:pPr>
      <w:rPr>
        <w:rFonts w:hint="eastAsia" w:ascii="宋体" w:hAnsi="宋体" w:eastAsia="宋体" w:cs="仿宋"/>
        <w:lang w:val="en-US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 w:ascii="宋体" w:hAnsi="宋体" w:eastAsia="宋体" w:cs="仿宋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 w:ascii="宋体" w:hAnsi="宋体" w:eastAsia="宋体" w:cs="仿宋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NmOWQyNzdlYWU5M2YyNzczNmRlZjFkNDVjZWMxNGQifQ=="/>
  </w:docVars>
  <w:rsids>
    <w:rsidRoot w:val="1ACA360D"/>
    <w:rsid w:val="007717C2"/>
    <w:rsid w:val="01431A4A"/>
    <w:rsid w:val="028E4732"/>
    <w:rsid w:val="02C92423"/>
    <w:rsid w:val="03265180"/>
    <w:rsid w:val="036D7252"/>
    <w:rsid w:val="03742054"/>
    <w:rsid w:val="04583A5F"/>
    <w:rsid w:val="04826D2E"/>
    <w:rsid w:val="0494259D"/>
    <w:rsid w:val="04BD7D66"/>
    <w:rsid w:val="0512007B"/>
    <w:rsid w:val="05340028"/>
    <w:rsid w:val="055D1B3F"/>
    <w:rsid w:val="05AF01F7"/>
    <w:rsid w:val="05BA6F95"/>
    <w:rsid w:val="06053772"/>
    <w:rsid w:val="061E5687"/>
    <w:rsid w:val="072658B5"/>
    <w:rsid w:val="07EC569D"/>
    <w:rsid w:val="07FD356E"/>
    <w:rsid w:val="08055CAB"/>
    <w:rsid w:val="091D2944"/>
    <w:rsid w:val="094B74DC"/>
    <w:rsid w:val="09E8472B"/>
    <w:rsid w:val="0AF81AF7"/>
    <w:rsid w:val="0BC53CE2"/>
    <w:rsid w:val="0C4274CE"/>
    <w:rsid w:val="0D166265"/>
    <w:rsid w:val="0D3C0F87"/>
    <w:rsid w:val="0D5D3E94"/>
    <w:rsid w:val="0E6A4ABA"/>
    <w:rsid w:val="0EE54565"/>
    <w:rsid w:val="0FED14FF"/>
    <w:rsid w:val="112260EC"/>
    <w:rsid w:val="126F08F1"/>
    <w:rsid w:val="12C0739F"/>
    <w:rsid w:val="13315BA7"/>
    <w:rsid w:val="13685340"/>
    <w:rsid w:val="139B5716"/>
    <w:rsid w:val="1525173B"/>
    <w:rsid w:val="152754B3"/>
    <w:rsid w:val="158900E3"/>
    <w:rsid w:val="15E62031"/>
    <w:rsid w:val="164F4B0E"/>
    <w:rsid w:val="172609C6"/>
    <w:rsid w:val="172F4AF3"/>
    <w:rsid w:val="17CC7129"/>
    <w:rsid w:val="180A4C18"/>
    <w:rsid w:val="18C33745"/>
    <w:rsid w:val="1912022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F004D2E"/>
    <w:rsid w:val="1F453D1E"/>
    <w:rsid w:val="1F59095F"/>
    <w:rsid w:val="1F86727A"/>
    <w:rsid w:val="1FE53BC7"/>
    <w:rsid w:val="207E61A3"/>
    <w:rsid w:val="21ED538F"/>
    <w:rsid w:val="22507B57"/>
    <w:rsid w:val="22B20386"/>
    <w:rsid w:val="22C5630B"/>
    <w:rsid w:val="23733FB9"/>
    <w:rsid w:val="23955CDE"/>
    <w:rsid w:val="23B92805"/>
    <w:rsid w:val="244B45EE"/>
    <w:rsid w:val="251946ED"/>
    <w:rsid w:val="253F4091"/>
    <w:rsid w:val="25BA5ED0"/>
    <w:rsid w:val="275B0A3D"/>
    <w:rsid w:val="27A6495D"/>
    <w:rsid w:val="28602A2B"/>
    <w:rsid w:val="28BA1D43"/>
    <w:rsid w:val="28E13773"/>
    <w:rsid w:val="29244625"/>
    <w:rsid w:val="294A1318"/>
    <w:rsid w:val="29CE79AB"/>
    <w:rsid w:val="2B1C6CE5"/>
    <w:rsid w:val="2BDF043E"/>
    <w:rsid w:val="2C525535"/>
    <w:rsid w:val="2ED50E10"/>
    <w:rsid w:val="2F683E67"/>
    <w:rsid w:val="302C533B"/>
    <w:rsid w:val="31CF5C1D"/>
    <w:rsid w:val="31E4154A"/>
    <w:rsid w:val="31F041C4"/>
    <w:rsid w:val="32543208"/>
    <w:rsid w:val="33B54E5D"/>
    <w:rsid w:val="33D8341D"/>
    <w:rsid w:val="33F22CD8"/>
    <w:rsid w:val="34A749EE"/>
    <w:rsid w:val="35A25C9B"/>
    <w:rsid w:val="35E5565D"/>
    <w:rsid w:val="361A4FED"/>
    <w:rsid w:val="36CE17DB"/>
    <w:rsid w:val="370D205E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2B5D12"/>
    <w:rsid w:val="3B5D4EDB"/>
    <w:rsid w:val="3B702E61"/>
    <w:rsid w:val="3B914B85"/>
    <w:rsid w:val="3BE86E9B"/>
    <w:rsid w:val="3CCD6091"/>
    <w:rsid w:val="3CD2476A"/>
    <w:rsid w:val="3D0D2931"/>
    <w:rsid w:val="3DF56C47"/>
    <w:rsid w:val="3E104487"/>
    <w:rsid w:val="3EA64DEB"/>
    <w:rsid w:val="3EE85404"/>
    <w:rsid w:val="3F0F7DFC"/>
    <w:rsid w:val="3F8213B4"/>
    <w:rsid w:val="40552625"/>
    <w:rsid w:val="405D597D"/>
    <w:rsid w:val="4246496D"/>
    <w:rsid w:val="42902152"/>
    <w:rsid w:val="43413334"/>
    <w:rsid w:val="44A1408B"/>
    <w:rsid w:val="44DF49AB"/>
    <w:rsid w:val="452B604A"/>
    <w:rsid w:val="458B0897"/>
    <w:rsid w:val="461070BE"/>
    <w:rsid w:val="46787B82"/>
    <w:rsid w:val="474D04FA"/>
    <w:rsid w:val="47B02837"/>
    <w:rsid w:val="48C61172"/>
    <w:rsid w:val="48C77E38"/>
    <w:rsid w:val="48CB5B7A"/>
    <w:rsid w:val="48F5212B"/>
    <w:rsid w:val="497418F4"/>
    <w:rsid w:val="49865F45"/>
    <w:rsid w:val="49A62143"/>
    <w:rsid w:val="4A203CA4"/>
    <w:rsid w:val="4ABA5EA6"/>
    <w:rsid w:val="4AC40AD3"/>
    <w:rsid w:val="4B313C8F"/>
    <w:rsid w:val="4B6B0F4E"/>
    <w:rsid w:val="4B9B38DE"/>
    <w:rsid w:val="4CF11927"/>
    <w:rsid w:val="4DCD4142"/>
    <w:rsid w:val="4DDA7F7C"/>
    <w:rsid w:val="4E600B13"/>
    <w:rsid w:val="4E712D20"/>
    <w:rsid w:val="4EEB31C1"/>
    <w:rsid w:val="4FCB5FB2"/>
    <w:rsid w:val="500B0F52"/>
    <w:rsid w:val="50C03AEB"/>
    <w:rsid w:val="516E1798"/>
    <w:rsid w:val="51A67184"/>
    <w:rsid w:val="522D51B0"/>
    <w:rsid w:val="528F202D"/>
    <w:rsid w:val="52A25112"/>
    <w:rsid w:val="53D004E8"/>
    <w:rsid w:val="54A61249"/>
    <w:rsid w:val="54F621D1"/>
    <w:rsid w:val="55945546"/>
    <w:rsid w:val="55A75252"/>
    <w:rsid w:val="56C8194B"/>
    <w:rsid w:val="57911D3D"/>
    <w:rsid w:val="57FB18AC"/>
    <w:rsid w:val="586E02D0"/>
    <w:rsid w:val="594350C6"/>
    <w:rsid w:val="59527BF2"/>
    <w:rsid w:val="598853C1"/>
    <w:rsid w:val="5A4B6B1B"/>
    <w:rsid w:val="5ACC7530"/>
    <w:rsid w:val="5B242EC8"/>
    <w:rsid w:val="5C6774D0"/>
    <w:rsid w:val="5CF54B1C"/>
    <w:rsid w:val="5D3F223B"/>
    <w:rsid w:val="5D4E06D0"/>
    <w:rsid w:val="5DEF58DB"/>
    <w:rsid w:val="5E316028"/>
    <w:rsid w:val="5F155949"/>
    <w:rsid w:val="5FF4555F"/>
    <w:rsid w:val="5FFB4B3F"/>
    <w:rsid w:val="60B60A66"/>
    <w:rsid w:val="6179520E"/>
    <w:rsid w:val="618172C6"/>
    <w:rsid w:val="61C77F4D"/>
    <w:rsid w:val="61ED04B8"/>
    <w:rsid w:val="626764BC"/>
    <w:rsid w:val="630A2F55"/>
    <w:rsid w:val="63E1229E"/>
    <w:rsid w:val="64D67BCE"/>
    <w:rsid w:val="64F8164D"/>
    <w:rsid w:val="64F8789F"/>
    <w:rsid w:val="651E4E2C"/>
    <w:rsid w:val="65551782"/>
    <w:rsid w:val="658729D1"/>
    <w:rsid w:val="65C14135"/>
    <w:rsid w:val="65CC59A3"/>
    <w:rsid w:val="65EA02AB"/>
    <w:rsid w:val="66027411"/>
    <w:rsid w:val="66466D22"/>
    <w:rsid w:val="67044388"/>
    <w:rsid w:val="675E0EE9"/>
    <w:rsid w:val="689D3399"/>
    <w:rsid w:val="692D1AE1"/>
    <w:rsid w:val="694F1A58"/>
    <w:rsid w:val="69A26810"/>
    <w:rsid w:val="6AA336F8"/>
    <w:rsid w:val="6AB159AD"/>
    <w:rsid w:val="6AE54422"/>
    <w:rsid w:val="6B5C220A"/>
    <w:rsid w:val="6BB65DBE"/>
    <w:rsid w:val="6C0B435C"/>
    <w:rsid w:val="6C4433CA"/>
    <w:rsid w:val="6C692E30"/>
    <w:rsid w:val="6CD93A34"/>
    <w:rsid w:val="6EB32A89"/>
    <w:rsid w:val="6EC627BC"/>
    <w:rsid w:val="6EC66318"/>
    <w:rsid w:val="6FEA24DA"/>
    <w:rsid w:val="71CE58C0"/>
    <w:rsid w:val="721C2EA3"/>
    <w:rsid w:val="72431B05"/>
    <w:rsid w:val="738844E4"/>
    <w:rsid w:val="73A3131E"/>
    <w:rsid w:val="73FC458A"/>
    <w:rsid w:val="740C62FA"/>
    <w:rsid w:val="74566390"/>
    <w:rsid w:val="74D5034D"/>
    <w:rsid w:val="758938E4"/>
    <w:rsid w:val="75E1612D"/>
    <w:rsid w:val="77B80B76"/>
    <w:rsid w:val="783224F8"/>
    <w:rsid w:val="79020895"/>
    <w:rsid w:val="7AB827A3"/>
    <w:rsid w:val="7AD1051F"/>
    <w:rsid w:val="7BAC2D3A"/>
    <w:rsid w:val="7BC65BA9"/>
    <w:rsid w:val="7C211BE0"/>
    <w:rsid w:val="7C5238E1"/>
    <w:rsid w:val="7D6C09D3"/>
    <w:rsid w:val="7DA261A2"/>
    <w:rsid w:val="7E09286B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numPr>
        <w:ilvl w:val="2"/>
        <w:numId w:val="1"/>
      </w:numPr>
      <w:spacing w:before="156" w:after="156"/>
      <w:outlineLvl w:val="2"/>
    </w:pPr>
    <w:rPr>
      <w:rFonts w:ascii="Times New Roman" w:hAnsi="Times New Roman" w:cs="Times New Roman"/>
      <w:b/>
      <w:sz w:val="28"/>
      <w:szCs w:val="20"/>
    </w:rPr>
  </w:style>
  <w:style w:type="paragraph" w:styleId="5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156" w:after="156"/>
      <w:outlineLvl w:val="3"/>
    </w:pPr>
    <w:rPr>
      <w:rFonts w:ascii="Times New Roman" w:hAnsi="Times New Roman" w:cs="Times New Roman"/>
      <w:b/>
      <w:sz w:val="28"/>
      <w:szCs w:val="20"/>
    </w:rPr>
  </w:style>
  <w:style w:type="character" w:default="1" w:styleId="14">
    <w:name w:val="Default Paragraph Font"/>
    <w:autoRedefine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7">
    <w:name w:val="toc 2"/>
    <w:basedOn w:val="1"/>
    <w:next w:val="1"/>
    <w:autoRedefine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6"/>
    <w:next w:val="1"/>
    <w:autoRedefine/>
    <w:qFormat/>
    <w:uiPriority w:val="0"/>
    <w:pPr>
      <w:widowControl w:val="0"/>
      <w:spacing w:line="360" w:lineRule="auto"/>
      <w:ind w:left="1050" w:firstLine="964" w:firstLineChars="200"/>
    </w:pPr>
    <w:rPr>
      <w:rFonts w:ascii="仿宋_GB2312" w:hAnsi="宋体" w:eastAsia="仿宋_GB2312" w:cs="宋体"/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51"/>
    <w:basedOn w:val="14"/>
    <w:autoRedefine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6">
    <w:name w:val="p0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7">
    <w:name w:val="p16"/>
    <w:basedOn w:val="1"/>
    <w:autoRedefine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8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Paragraph"/>
    <w:basedOn w:val="1"/>
    <w:autoRedefine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20">
    <w:name w:val="Table Normal"/>
    <w:autoRedefine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段"/>
    <w:basedOn w:val="1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22">
    <w:name w:val="font0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3">
    <w:name w:val="font61"/>
    <w:basedOn w:val="1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4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6">
    <w:name w:val="NormalCharacter"/>
    <w:link w:val="1"/>
    <w:autoRedefine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标题 1 Char1"/>
    <w:autoRedefine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table" w:customStyle="1" w:styleId="28">
    <w:name w:val="表"/>
    <w:basedOn w:val="12"/>
    <w:autoRedefine/>
    <w:qFormat/>
    <w:uiPriority w:val="39"/>
    <w:pPr>
      <w:contextualSpacing/>
    </w:pPr>
    <w:rPr>
      <w:rFonts w:asciiTheme="minorHAnsi" w:hAnsiTheme="minorHAnsi" w:eastAsiaTheme="minorEastAsia" w:cstheme="minorBidi"/>
      <w:sz w:val="24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  <w:style w:type="paragraph" w:customStyle="1" w:styleId="29">
    <w:name w:val="04-正文"/>
    <w:basedOn w:val="1"/>
    <w:autoRedefine/>
    <w:qFormat/>
    <w:uiPriority w:val="0"/>
    <w:pPr>
      <w:widowControl w:val="0"/>
      <w:ind w:firstLine="482" w:firstLineChars="0"/>
      <w:jc w:val="both"/>
    </w:pPr>
    <w:rPr>
      <w:rFonts w:cstheme="minorBidi"/>
      <w:szCs w:val="22"/>
    </w:rPr>
  </w:style>
  <w:style w:type="paragraph" w:customStyle="1" w:styleId="30">
    <w:name w:val="正文1"/>
    <w:autoRedefine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kern w:val="2"/>
      <w:sz w:val="24"/>
      <w:szCs w:val="24"/>
      <w:lang w:val="en-US" w:eastAsia="zh-CN" w:bidi="ar-SA"/>
    </w:rPr>
  </w:style>
  <w:style w:type="character" w:customStyle="1" w:styleId="31">
    <w:name w:val="font11"/>
    <w:basedOn w:val="14"/>
    <w:autoRedefine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650</Words>
  <Characters>653</Characters>
  <Lines>0</Lines>
  <Paragraphs>0</Paragraphs>
  <TotalTime>3</TotalTime>
  <ScaleCrop>false</ScaleCrop>
  <LinksUpToDate>false</LinksUpToDate>
  <CharactersWithSpaces>790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2025-05-13T03:08:41Z</cp:lastPrinted>
  <dcterms:modified xsi:type="dcterms:W3CDTF">2025-05-13T03:20:02Z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eyJoZGlkIjoiOGNmOWQyNzdlYWU5M2YyNzczNmRlZjFkNDVjZWMxNGQiLCJ1c2VySWQiOiI0MDQ5MDgzNDMifQ==</vt:lpwstr>
  </property>
</Properties>
</file>