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337DCD">
      <w:pPr>
        <w:pStyle w:val="3"/>
        <w:numPr>
          <w:ilvl w:val="0"/>
          <w:numId w:val="0"/>
        </w:num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0"/>
          <w:szCs w:val="30"/>
          <w:u w:val="none"/>
          <w:lang w:val="en-US" w:eastAsia="zh-CN" w:bidi="ar"/>
        </w:rPr>
        <w:t>附件：</w:t>
      </w:r>
    </w:p>
    <w:p w14:paraId="0CFF6E65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00" w:lineRule="exact"/>
        <w:jc w:val="center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保亭黎族苗族自治县人民医院（保亭黎族苗族自治县医疗集团总医院）配电房更换甲级防火门项目市场询价采购清单</w:t>
      </w:r>
    </w:p>
    <w:p w14:paraId="316BA990">
      <w:pPr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9"/>
        <w:tblW w:w="9969" w:type="dxa"/>
        <w:tblInd w:w="-745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38"/>
        <w:gridCol w:w="2885"/>
        <w:gridCol w:w="556"/>
        <w:gridCol w:w="621"/>
        <w:gridCol w:w="1038"/>
        <w:gridCol w:w="1085"/>
        <w:gridCol w:w="3046"/>
      </w:tblGrid>
      <w:tr w14:paraId="6ABF0DB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81" w:hRule="atLeast"/>
        </w:trPr>
        <w:tc>
          <w:tcPr>
            <w:tcW w:w="99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6111E1C">
            <w:pPr>
              <w:spacing w:before="117" w:after="0" w:line="240" w:lineRule="auto"/>
              <w:ind w:firstLine="360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防火门整改内容：</w:t>
            </w:r>
          </w:p>
          <w:p w14:paraId="68CBBB2A">
            <w:pPr>
              <w:spacing w:before="7" w:after="0" w:line="240" w:lineRule="auto"/>
              <w:ind w:firstLine="36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、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号高压配电房及发电机房内外共计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樘木质防火门需改造为甲级钢制防火门；发电机房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座挡油坎因防火门改造需拆除重新设置；</w:t>
            </w:r>
          </w:p>
          <w:p w14:paraId="0B44FB47">
            <w:pPr>
              <w:spacing w:before="0" w:after="0" w:line="211" w:lineRule="auto"/>
              <w:ind w:firstLine="340"/>
              <w:jc w:val="both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、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号低压配电房共计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樘外开木质防火门需改造为甲级钢制防火门；</w:t>
            </w:r>
          </w:p>
        </w:tc>
      </w:tr>
      <w:tr w14:paraId="76FB1B91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4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B009E">
            <w:pPr>
              <w:spacing w:before="15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序号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9F8BB8">
            <w:pPr>
              <w:spacing w:before="19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设备材料名称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DD54FB1">
            <w:pPr>
              <w:spacing w:before="17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单位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4E8191">
            <w:pPr>
              <w:spacing w:before="19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数量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820608">
            <w:pPr>
              <w:spacing w:before="17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单价（元）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97538E1">
            <w:pPr>
              <w:spacing w:before="19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金额（元）</w:t>
            </w: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345F51C">
            <w:pPr>
              <w:spacing w:before="19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施工内容</w:t>
            </w:r>
          </w:p>
        </w:tc>
      </w:tr>
      <w:tr w14:paraId="2D93CA9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9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20873B">
            <w:pPr>
              <w:spacing w:before="209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4AFE0">
            <w:pPr>
              <w:spacing w:before="213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940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＊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2050mm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单开左开甲级钢制防火门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5F98CF">
            <w:pPr>
              <w:spacing w:before="233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樘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2E5FFC">
            <w:pPr>
              <w:spacing w:before="229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B3297F">
            <w:pPr>
              <w:spacing w:before="229" w:after="0" w:line="240" w:lineRule="auto"/>
              <w:ind w:firstLine="752"/>
              <w:jc w:val="center"/>
              <w:rPr>
                <w:sz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75A650">
            <w:pPr>
              <w:spacing w:before="229" w:after="0" w:line="240" w:lineRule="auto"/>
              <w:ind w:firstLine="990"/>
              <w:jc w:val="center"/>
              <w:rPr>
                <w:sz w:val="21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584CB6">
            <w:pPr>
              <w:spacing w:before="27" w:after="0" w:line="263" w:lineRule="auto"/>
              <w:ind w:left="44" w:right="280" w:firstLine="0"/>
              <w:jc w:val="left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含防火门、拆除安装、门框及墙面恢复、垃圾清运、门框灌浆、辅材、器械等</w:t>
            </w:r>
          </w:p>
        </w:tc>
      </w:tr>
      <w:tr w14:paraId="2A3A7D4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7C7D4">
            <w:pPr>
              <w:spacing w:before="187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B1FC09">
            <w:pPr>
              <w:spacing w:before="192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940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＊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2050mm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单开右开甲级钢制防火门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8218A">
            <w:pPr>
              <w:spacing w:before="212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樘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711441">
            <w:pPr>
              <w:spacing w:before="187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F63B8">
            <w:pPr>
              <w:spacing w:before="227" w:after="0" w:line="240" w:lineRule="auto"/>
              <w:ind w:firstLine="772"/>
              <w:jc w:val="center"/>
              <w:rPr>
                <w:sz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523C02">
            <w:pPr>
              <w:spacing w:before="227" w:after="0" w:line="240" w:lineRule="auto"/>
              <w:ind w:firstLine="1010"/>
              <w:jc w:val="center"/>
              <w:rPr>
                <w:sz w:val="21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B453ADF">
            <w:pPr>
              <w:spacing w:before="5" w:after="0" w:line="263" w:lineRule="auto"/>
              <w:ind w:left="64" w:right="260" w:firstLine="0"/>
              <w:jc w:val="left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含防火门、拆除安装、门框及墙面恢复、垃圾清运、门框灌浆、辅材、器械等</w:t>
            </w:r>
          </w:p>
        </w:tc>
      </w:tr>
      <w:tr w14:paraId="0766A04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1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F928F">
            <w:pPr>
              <w:spacing w:before="185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3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919BFB">
            <w:pPr>
              <w:spacing w:before="190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1470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＊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2050mm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双开甲级钢制防火门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3B62A1">
            <w:pPr>
              <w:spacing w:before="190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樘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EB427">
            <w:pPr>
              <w:spacing w:before="185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78E4E">
            <w:pPr>
              <w:spacing w:before="205" w:after="0" w:line="240" w:lineRule="auto"/>
              <w:ind w:firstLine="772"/>
              <w:jc w:val="center"/>
              <w:rPr>
                <w:sz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5C4465">
            <w:pPr>
              <w:spacing w:before="225" w:after="0" w:line="240" w:lineRule="auto"/>
              <w:ind w:firstLine="1010"/>
              <w:jc w:val="center"/>
              <w:rPr>
                <w:sz w:val="21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606EE67">
            <w:pPr>
              <w:spacing w:before="23" w:after="0" w:line="263" w:lineRule="auto"/>
              <w:ind w:left="104" w:right="260" w:hanging="20"/>
              <w:jc w:val="left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含防火门、拆除安装、门框及墙面恢复、垃圾清运、门框灌浆、辅材、器械等</w:t>
            </w:r>
          </w:p>
        </w:tc>
      </w:tr>
      <w:tr w14:paraId="010E258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2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F06F3C">
            <w:pPr>
              <w:spacing w:before="204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4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10B12B">
            <w:pPr>
              <w:spacing w:before="208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1750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＊</w:t>
            </w:r>
            <w:r>
              <w:rPr>
                <w:rFonts w:hint="eastAsia" w:ascii="Calibri" w:hAnsi="Calibri" w:eastAsia="Calibri"/>
                <w:color w:val="000000"/>
                <w:sz w:val="21"/>
              </w:rPr>
              <w:t>2360mm</w:t>
            </w:r>
            <w:r>
              <w:rPr>
                <w:rFonts w:hint="eastAsia" w:ascii="宋体" w:hAnsi="宋体" w:eastAsia="宋体"/>
                <w:color w:val="000000"/>
                <w:sz w:val="21"/>
              </w:rPr>
              <w:t>双开甲级钢制防火门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C22FF">
            <w:pPr>
              <w:spacing w:before="208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樘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4BD782">
            <w:pPr>
              <w:spacing w:before="204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1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8E0268">
            <w:pPr>
              <w:spacing w:before="204" w:after="0" w:line="240" w:lineRule="auto"/>
              <w:ind w:firstLine="792"/>
              <w:jc w:val="center"/>
              <w:rPr>
                <w:sz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6BB65">
            <w:pPr>
              <w:spacing w:before="224" w:after="0" w:line="240" w:lineRule="auto"/>
              <w:ind w:firstLine="1030"/>
              <w:jc w:val="center"/>
              <w:rPr>
                <w:sz w:val="21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A4552A">
            <w:pPr>
              <w:spacing w:before="22" w:after="0" w:line="263" w:lineRule="auto"/>
              <w:ind w:left="124" w:right="240" w:firstLine="0"/>
              <w:jc w:val="left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含防火门、拆除安装、门框及墙面恢复、垃圾清运、门框灌浆、辅材、器械等</w:t>
            </w:r>
          </w:p>
        </w:tc>
      </w:tr>
      <w:tr w14:paraId="5BA2644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1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06E385">
            <w:pPr>
              <w:spacing w:before="162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5</w:t>
            </w:r>
          </w:p>
        </w:tc>
        <w:tc>
          <w:tcPr>
            <w:tcW w:w="2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110053">
            <w:pPr>
              <w:spacing w:before="207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发电机房水泥挡油坎拆除安装施工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EE3F0C">
            <w:pPr>
              <w:spacing w:before="207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座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1F0CC2">
            <w:pPr>
              <w:spacing w:before="202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2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266483">
            <w:pPr>
              <w:spacing w:before="222" w:after="0" w:line="240" w:lineRule="auto"/>
              <w:ind w:firstLine="912"/>
              <w:jc w:val="center"/>
              <w:rPr>
                <w:sz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23AAE">
            <w:pPr>
              <w:spacing w:before="242" w:after="0" w:line="240" w:lineRule="auto"/>
              <w:ind w:firstLine="1050"/>
              <w:jc w:val="center"/>
              <w:rPr>
                <w:sz w:val="21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42A87C1">
            <w:pPr>
              <w:spacing w:before="247" w:after="0" w:line="240" w:lineRule="auto"/>
              <w:jc w:val="both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含材料、拆除安装、辅材、器械垃圾清运等</w:t>
            </w:r>
          </w:p>
        </w:tc>
      </w:tr>
      <w:tr w14:paraId="51614BA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1" w:hRule="atLeast"/>
        </w:trPr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EBE681">
            <w:pPr>
              <w:spacing w:before="140" w:after="0" w:line="240" w:lineRule="auto"/>
              <w:jc w:val="center"/>
              <w:rPr>
                <w:sz w:val="21"/>
              </w:rPr>
            </w:pPr>
            <w:r>
              <w:rPr>
                <w:rFonts w:hint="eastAsia" w:ascii="Calibri" w:hAnsi="Calibri" w:eastAsia="Calibri"/>
                <w:color w:val="000000"/>
                <w:sz w:val="21"/>
              </w:rPr>
              <w:t>6</w:t>
            </w:r>
          </w:p>
        </w:tc>
        <w:tc>
          <w:tcPr>
            <w:tcW w:w="5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15C5DB2">
            <w:pPr>
              <w:spacing w:before="205" w:after="0" w:line="240" w:lineRule="auto"/>
              <w:jc w:val="center"/>
              <w:rPr>
                <w:sz w:val="21"/>
              </w:rPr>
            </w:pPr>
            <w:r>
              <w:rPr>
                <w:rFonts w:hint="eastAsia" w:ascii="宋体" w:hAnsi="宋体" w:eastAsia="宋体"/>
                <w:color w:val="000000"/>
                <w:sz w:val="21"/>
              </w:rPr>
              <w:t>合计金额（元）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A54D33">
            <w:pPr>
              <w:spacing w:before="0" w:after="0" w:line="191" w:lineRule="auto"/>
              <w:ind w:firstLine="930"/>
              <w:jc w:val="center"/>
              <w:rPr>
                <w:sz w:val="21"/>
              </w:rPr>
            </w:pPr>
          </w:p>
        </w:tc>
        <w:tc>
          <w:tcPr>
            <w:tcW w:w="3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64CB98B">
            <w:pPr>
              <w:spacing w:before="245" w:after="0" w:line="240" w:lineRule="auto"/>
              <w:jc w:val="both"/>
              <w:rPr>
                <w:sz w:val="21"/>
              </w:rPr>
            </w:pPr>
          </w:p>
        </w:tc>
      </w:tr>
    </w:tbl>
    <w:p w14:paraId="331E13DC"/>
    <w:p w14:paraId="6193A959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以上报价含税及包含产品质保期内服务过程中可能产生的其他费用。</w:t>
      </w:r>
    </w:p>
    <w:p w14:paraId="7D841D7A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7D036A1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报价单位：（盖章）                                </w:t>
      </w:r>
    </w:p>
    <w:p w14:paraId="50EF3104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1CA97891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联 系 人： </w:t>
      </w:r>
    </w:p>
    <w:p w14:paraId="6BCA434F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75DC3A68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身份证号：                              </w:t>
      </w:r>
    </w:p>
    <w:p w14:paraId="47CE1C78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036FF8B8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 xml:space="preserve">电    话：  </w:t>
      </w:r>
    </w:p>
    <w:p w14:paraId="0356936D">
      <w:pPr>
        <w:spacing w:line="240" w:lineRule="auto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</w:p>
    <w:p w14:paraId="07CD0FF1">
      <w:pPr>
        <w:spacing w:line="240" w:lineRule="auto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日    期：2025年0</w:t>
      </w:r>
      <w:r>
        <w:rPr>
          <w:rFonts w:hint="eastAsia" w:ascii="宋体" w:hAnsi="宋体" w:cs="宋体"/>
          <w:b w:val="0"/>
          <w:bCs/>
          <w:sz w:val="24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  <w:t>月    日</w:t>
      </w:r>
    </w:p>
    <w:p w14:paraId="5E36D43B">
      <w:pPr>
        <w:bidi w:val="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法定代表人授权书格式</w:t>
      </w:r>
    </w:p>
    <w:p w14:paraId="7FE36877">
      <w:pPr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lang w:val="en-GB"/>
        </w:rPr>
      </w:pPr>
    </w:p>
    <w:p w14:paraId="5773784F"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32"/>
          <w:szCs w:val="32"/>
          <w:lang w:val="en-GB"/>
        </w:rPr>
        <w:t>法定代表人授权书</w:t>
      </w:r>
    </w:p>
    <w:p w14:paraId="21A351E8"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致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：</w:t>
      </w:r>
    </w:p>
    <w:p w14:paraId="146A69F7">
      <w:pPr>
        <w:numPr>
          <w:ilvl w:val="1"/>
          <w:numId w:val="1"/>
        </w:numPr>
        <w:shd w:val="clear" w:color="auto" w:fill="FFFFFF"/>
        <w:wordWrap w:val="0"/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兹授权：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先生/女士作为我公司的合法授权代理人，</w:t>
      </w:r>
      <w:r>
        <w:rPr>
          <w:rFonts w:hint="eastAsia" w:ascii="宋体" w:hAnsi="宋体" w:eastAsia="宋体" w:cs="宋体"/>
          <w:color w:val="000000"/>
          <w:sz w:val="24"/>
        </w:rPr>
        <w:t>参加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保亭黎族苗族自治县人民医院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组织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的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配电房更换甲级防火门项目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（采购编号：BY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XJ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-202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16</w:t>
      </w:r>
      <w:r>
        <w:rPr>
          <w:rFonts w:hint="eastAsia" w:ascii="宋体" w:hAnsi="宋体" w:eastAsia="宋体" w:cs="宋体"/>
          <w:color w:val="000000"/>
          <w:sz w:val="24"/>
          <w:lang w:val="en-GB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GB"/>
        </w:rPr>
        <w:t>活动。</w:t>
      </w:r>
    </w:p>
    <w:p w14:paraId="7555BEEB">
      <w:pPr>
        <w:spacing w:line="360" w:lineRule="auto"/>
        <w:ind w:firstLine="463" w:firstLineChars="192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b/>
          <w:color w:val="000000"/>
          <w:sz w:val="24"/>
          <w:lang w:val="en-GB"/>
        </w:rPr>
        <w:t>授权权限：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全权代表本公司参与上述项目的采购活动，并负责一切响应文件的提供与确认，其签字与我司公章具有相同的法律效力。有效期限：与件中标注的投标有效期相同，自法定代表人签字之日起生效。</w:t>
      </w:r>
    </w:p>
    <w:p w14:paraId="67C82596">
      <w:pPr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473B7759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被授权人：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（亲笔签名）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</w:t>
      </w:r>
    </w:p>
    <w:p w14:paraId="0339D41B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2E9C4C32">
      <w:pPr>
        <w:spacing w:line="480" w:lineRule="auto"/>
        <w:rPr>
          <w:rFonts w:hint="eastAsia" w:ascii="宋体" w:hAnsi="宋体" w:eastAsia="宋体" w:cs="宋体"/>
          <w:color w:val="000000"/>
          <w:sz w:val="24"/>
          <w:lang w:val="en-GB"/>
        </w:rPr>
      </w:pPr>
    </w:p>
    <w:p w14:paraId="200BAA6C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公司名称：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（公章）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 xml:space="preserve">      营业执照号码：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</w:t>
      </w:r>
    </w:p>
    <w:p w14:paraId="0651CAA5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法定代表人：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（亲笔签名）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联系电话：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</w:t>
      </w:r>
    </w:p>
    <w:p w14:paraId="33EAFA76">
      <w:pPr>
        <w:spacing w:line="480" w:lineRule="auto"/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职    务：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GB"/>
        </w:rPr>
        <w:t xml:space="preserve">                 </w:t>
      </w:r>
    </w:p>
    <w:p w14:paraId="4E4DAE6B">
      <w:pPr>
        <w:spacing w:line="480" w:lineRule="auto"/>
        <w:jc w:val="center"/>
        <w:rPr>
          <w:rFonts w:hint="eastAsia" w:ascii="宋体" w:hAnsi="宋体" w:eastAsia="宋体" w:cs="宋体"/>
          <w:color w:val="000000"/>
          <w:sz w:val="24"/>
          <w:lang w:val="en-GB"/>
        </w:rPr>
      </w:pPr>
      <w:r>
        <w:rPr>
          <w:rFonts w:hint="eastAsia" w:ascii="宋体" w:hAnsi="宋体" w:eastAsia="宋体" w:cs="宋体"/>
          <w:color w:val="000000"/>
          <w:sz w:val="24"/>
          <w:lang w:val="en-GB"/>
        </w:rPr>
        <w:t>生效日期：20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年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lang w:val="en-GB"/>
        </w:rPr>
        <w:t>月   日</w:t>
      </w:r>
    </w:p>
    <w:p w14:paraId="2086A951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67310</wp:posOffset>
                </wp:positionV>
                <wp:extent cx="2971800" cy="1910080"/>
                <wp:effectExtent l="4445" t="4445" r="1460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4A83321">
                            <w:pPr>
                              <w:ind w:left="-1079" w:leftChars="-514"/>
                              <w:jc w:val="center"/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76EF203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法定代表人</w:t>
                            </w:r>
                          </w:p>
                          <w:p w14:paraId="4007E22A">
                            <w:pPr>
                              <w:ind w:left="-1079" w:leftChars="-514"/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eastAsia="华文中宋"/>
                                <w:b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pt;margin-top:5.3pt;height:150.4pt;width:234pt;z-index:251659264;mso-width-relative:page;mso-height-relative:page;" fillcolor="#FFFFFF" filled="t" stroked="t" coordsize="21600,21600" o:gfxdata="UEsDBAoAAAAAAIdO4kAAAAAAAAAAAAAAAAAEAAAAZHJzL1BLAwQUAAAACACHTuJApHCzfNgAAAAK&#10;AQAADwAAAGRycy9kb3ducmV2LnhtbE2PMU/DMBCFdyT+g3VIbK2dFAUa4nQAFYmxTRe2S2ySQHyO&#10;YqcN/HqOCba7e0/vvlfsFjeIs51C70lDslYgLDXe9NRqOFX71QOIEJEMDp6shi8bYFdeXxWYG3+h&#10;gz0fYys4hEKOGroYx1zK0HTWYVj70RJr735yGHmdWmkmvHC4G2SqVCYd9sQfOhztU2ebz+PsNNR9&#10;esLvQ/Wi3Ha/ia9L9TG/PWt9e5OoRxDRLvHPDL/4jA4lM9V+JhPEoGF1n3KXyILKQLBhs834UPOQ&#10;JHcgy0L+r1D+AFBLAwQUAAAACACHTuJANzXPQQgCAAA4BAAADgAAAGRycy9lMm9Eb2MueG1srVNN&#10;rtMwEN4jcQfLe5qk0itt1PQtKGWD4EkPDuDak8SS/2S7TXoaJHYcguMgrsHYKaXvwaILsnBm7PE3&#10;830zXt+PWpEj+CCtaWg1KykBw62Qpmvo50+7V0tKQmRGMGUNNPQEgd5vXr5YD66Gue2tEuAJgphQ&#10;D66hfYyuLorAe9AszKwDg4et9ZpFdH1XCM8GRNeqmJflohisF85bDiHg7nY6pGdEfwugbVvJYWv5&#10;QYOJE6oHxSJSCr10gW5ytW0LPH5s2wCRqIYi05hXTIL2Pq3FZs3qzjPXS34ugd1SwjNOmkmDSS9Q&#10;WxYZOXj5F5SW3Ntg2zjjVhcTkawIsqjKZ9o89sxB5oJSB3cRPfw/WP7h+OCJFA1dUGKYxob//PLt&#10;x/evZJG0GVyoMeTRPfizF9BMRMfW6/RHCmTMep4uesIYCcfN+ep1tSxRao5n1aoqy2VWvPhz3fkQ&#10;34HVJBkN9diwrCM7vg8RU2Lo75CULVglxU4qlR3f7d8oT44Mm7vLX6oZrzwJU4YMDV3dze+wEIYT&#10;2+KkoKkdsg6my/me3AjXwGX+/gWcCtuy0E8FZIQUxmotIyS9WN0DE2+NIPHkUFmDD4qmYjQIShTg&#10;+0tWjoxMqlsikZ0yCRrydJ9VSn2aOpOsOO5HBE3m3ooTNvjgvOx6FLjKRNIJDlTW6jz8aWKvfbSv&#10;H/zm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Rws3zYAAAACgEAAA8AAAAAAAAAAQAgAAAAIgAA&#10;AGRycy9kb3ducmV2LnhtbFBLAQIUABQAAAAIAIdO4kA3Nc9B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4A83321">
                      <w:pPr>
                        <w:ind w:left="-1079" w:leftChars="-514"/>
                        <w:jc w:val="center"/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76EF203">
                      <w:pPr>
                        <w:ind w:left="-1079" w:leftChars="-514"/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法定代表人</w:t>
                      </w:r>
                    </w:p>
                    <w:p w14:paraId="4007E22A">
                      <w:pPr>
                        <w:ind w:left="-1079" w:leftChars="-514"/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eastAsia="华文中宋"/>
                          <w:b/>
                          <w:sz w:val="28"/>
                        </w:rPr>
                        <w:t xml:space="preserve">     </w:t>
                      </w: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 w:hAnsi="宋体" w:eastAsia="宋体" w:cs="宋体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67310</wp:posOffset>
                </wp:positionV>
                <wp:extent cx="2857500" cy="1910080"/>
                <wp:effectExtent l="4445" t="5080" r="14605" b="889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91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1392298">
                            <w:pPr>
                              <w:rPr>
                                <w:rFonts w:eastAsia="黑体"/>
                                <w:b/>
                                <w:sz w:val="30"/>
                              </w:rPr>
                            </w:pPr>
                          </w:p>
                          <w:p w14:paraId="252B2737">
                            <w:pPr>
                              <w:jc w:val="center"/>
                              <w:rPr>
                                <w:rFonts w:eastAsia="华文中宋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被授权人</w:t>
                            </w:r>
                          </w:p>
                          <w:p w14:paraId="3DA4B6FD">
                            <w:pPr>
                              <w:jc w:val="center"/>
                              <w:rPr>
                                <w:rFonts w:eastAsia="华文中宋"/>
                                <w:sz w:val="28"/>
                              </w:rPr>
                            </w:pPr>
                            <w:r>
                              <w:rPr>
                                <w:rFonts w:hint="eastAsia" w:eastAsia="华文中宋"/>
                                <w:b/>
                                <w:sz w:val="28"/>
                              </w:rPr>
                              <w:t>居民身份证复印件粘贴处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5pt;margin-top:5.3pt;height:150.4pt;width:225pt;z-index:251660288;mso-width-relative:page;mso-height-relative:page;" fillcolor="#FFFFFF" filled="t" stroked="t" coordsize="21600,21600" o:gfxdata="UEsDBAoAAAAAAIdO4kAAAAAAAAAAAAAAAAAEAAAAZHJzL1BLAwQUAAAACACHTuJAzabmyNgAAAAK&#10;AQAADwAAAGRycy9kb3ducmV2LnhtbE2PwU7DMBBE70j8g7VI3KidtlRtiNMDqEgc2/TS2yY2SSBe&#10;R7HTBr6e7Yked2Y0+ybbTq4TZzuE1pOGZKZAWKq8aanWcCx2T2sQISIZ7DxZDT82wDa/v8swNf5C&#10;e3s+xFpwCYUUNTQx9qmUoWqswzDzvSX2Pv3gMPI51NIMeOFy18m5UivpsCX+0GBvXxtbfR9Gp6Fs&#10;50f83Rfvym12i/gxFV/j6U3rx4dEvYCIdor/YbjiMzrkzFT6kUwQnYbls+ItkQ21AsGBjboKpYZF&#10;kixB5pm8nZD/AVBLAwQUAAAACACHTuJAAiyfQwgCAAA4BAAADgAAAGRycy9lMm9Eb2MueG1srVNN&#10;rtMwEN4jcQfLe5q0Umlf1PQtKGWD4EkPDjB1Jokl/8l2m/Q0SOw4BMdBXIOxW0rfg0UXZOHM2ONv&#10;5vtmvLoftWIH9EFaU/PppOQMjbCNNF3NP3/avlpyFiKYBpQ1WPMjBn6/fvliNbgKZ7a3qkHPCMSE&#10;anA172N0VVEE0aOGMLEODR221muI5PquaDwMhK5VMSvL18VgfeO8FRgC7W5Oh/yM6G8BtG0rBW6s&#10;2Gs08YTqUUEkSqGXLvB1rrZtUcSPbRswMlVzYhrzSknI3qW1WK+g6jy4XopzCXBLCc84aZCGkl6g&#10;NhCB7b38C0pL4W2wbZwIq4sTkawIsZiWz7R57MFh5kJSB3cRPfw/WPHh8OCZbGq+4MyApob//PLt&#10;x/evbJG0GVyoKOTRPfizF8hMRMfW6/QnCmzMeh4veuIYmaDN2XK+mJcktaCz6d20LJdZ8eLPdedD&#10;fIdWs2TU3FPDso5weB8ipaTQ3yEpW7BKNlupVHZ8t3ujPDsANXebv1QzXXkSpgwban43n82pEKCJ&#10;bWlSyNSOWAfT5XxPboRr4DJ//wJOhW0g9KcCMkIKg0rLiEkvqHqE5q1pWDw6UtbQg+KpGI0NZwrp&#10;/SUrR0aQ6pZIYqdMgsY83WeVUp9OnUlWHHcjgSZzZ5sjNXjvvOx6EniaiaQTGqis1Xn408Re+2Rf&#10;P/j1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2m5sjYAAAACgEAAA8AAAAAAAAAAQAgAAAAIgAA&#10;AGRycy9kb3ducmV2LnhtbFBLAQIUABQAAAAIAIdO4kACLJ9DCAIAADgEAAAOAAAAAAAAAAEAIAAA&#10;ACc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1392298">
                      <w:pPr>
                        <w:rPr>
                          <w:rFonts w:eastAsia="黑体"/>
                          <w:b/>
                          <w:sz w:val="30"/>
                        </w:rPr>
                      </w:pPr>
                    </w:p>
                    <w:p w14:paraId="252B2737">
                      <w:pPr>
                        <w:jc w:val="center"/>
                        <w:rPr>
                          <w:rFonts w:eastAsia="华文中宋"/>
                          <w:b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被授权人</w:t>
                      </w:r>
                    </w:p>
                    <w:p w14:paraId="3DA4B6FD">
                      <w:pPr>
                        <w:jc w:val="center"/>
                        <w:rPr>
                          <w:rFonts w:eastAsia="华文中宋"/>
                          <w:sz w:val="28"/>
                        </w:rPr>
                      </w:pPr>
                      <w:r>
                        <w:rPr>
                          <w:rFonts w:hint="eastAsia" w:eastAsia="华文中宋"/>
                          <w:b/>
                          <w:sz w:val="28"/>
                        </w:rPr>
                        <w:t>居民身份证复印件粘贴处</w:t>
                      </w:r>
                    </w:p>
                  </w:txbxContent>
                </v:textbox>
              </v:rect>
            </w:pict>
          </mc:Fallback>
        </mc:AlternateContent>
      </w:r>
    </w:p>
    <w:p w14:paraId="16D6BB31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165539D6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3E68CF00">
      <w:pPr>
        <w:rPr>
          <w:rFonts w:hint="eastAsia" w:ascii="宋体" w:hAnsi="宋体" w:eastAsia="宋体" w:cs="宋体"/>
          <w:color w:val="000000"/>
          <w:sz w:val="28"/>
          <w:szCs w:val="28"/>
          <w:lang w:val="en-GB"/>
        </w:rPr>
      </w:pPr>
    </w:p>
    <w:p w14:paraId="0139F01E">
      <w:pP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</w:pPr>
    </w:p>
    <w:p w14:paraId="0283A020">
      <w:pPr>
        <w:jc w:val="center"/>
        <w:rPr>
          <w:rFonts w:hint="default" w:ascii="宋体" w:hAnsi="宋体" w:cs="宋体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GB"/>
        </w:rPr>
        <w:t>注：本授权书内容不得擅自修改。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4D8A49E-AC86-470F-89D2-A551777A55C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F07A42F-E0DE-4C4D-80E9-E5404E46B3D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C6C3126C-7EA2-452C-AEA6-EE86912F8A7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4598D71C-9923-4257-8221-605FE999E00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E63FC8"/>
    <w:multiLevelType w:val="multilevel"/>
    <w:tmpl w:val="7AE63FC8"/>
    <w:lvl w:ilvl="0" w:tentative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nothing"/>
      <w:lvlText w:val="%1.%2、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nothing"/>
      <w:lvlText w:val="%1.%2.%3、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nothing"/>
      <w:lvlText w:val="%1.%2.%3.%4、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nothing"/>
      <w:lvlText w:val="%1.%2.%3.%4.%5、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nothing"/>
      <w:lvlText w:val="%1.%2.%3.%4.%5.%6、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nothing"/>
      <w:lvlText w:val="%1.%2.%3.%4.%5.%6.%7、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nothing"/>
      <w:lvlText w:val="%1.%2.%3.%4.%5.%6.%7.%8、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nothing"/>
      <w:lvlText w:val="%1.%2.%3.%4.%5.%6.%7.%8.%9、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N2U1M2VjMWQ0MzNmNTRjNDU0OGU4MTg2N2Q2ZjMifQ=="/>
  </w:docVars>
  <w:rsids>
    <w:rsidRoot w:val="1ACA360D"/>
    <w:rsid w:val="007717C2"/>
    <w:rsid w:val="01431A4A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340028"/>
    <w:rsid w:val="05497197"/>
    <w:rsid w:val="055D1B3F"/>
    <w:rsid w:val="05AF01F7"/>
    <w:rsid w:val="05BA6F95"/>
    <w:rsid w:val="06053772"/>
    <w:rsid w:val="061E5687"/>
    <w:rsid w:val="074E3FC7"/>
    <w:rsid w:val="076B4AE0"/>
    <w:rsid w:val="07FD356E"/>
    <w:rsid w:val="08055CAB"/>
    <w:rsid w:val="08823A58"/>
    <w:rsid w:val="091D2944"/>
    <w:rsid w:val="094B74DC"/>
    <w:rsid w:val="09E8472B"/>
    <w:rsid w:val="0AF81AF7"/>
    <w:rsid w:val="0BC53CE2"/>
    <w:rsid w:val="0C584E16"/>
    <w:rsid w:val="0CD345CA"/>
    <w:rsid w:val="0D166265"/>
    <w:rsid w:val="0D3C0F87"/>
    <w:rsid w:val="0D5D3E94"/>
    <w:rsid w:val="0E6A4ABA"/>
    <w:rsid w:val="0EE54565"/>
    <w:rsid w:val="0FED14FF"/>
    <w:rsid w:val="112260EC"/>
    <w:rsid w:val="126F08F1"/>
    <w:rsid w:val="13315BA7"/>
    <w:rsid w:val="13685340"/>
    <w:rsid w:val="139B5716"/>
    <w:rsid w:val="152754B3"/>
    <w:rsid w:val="158900E3"/>
    <w:rsid w:val="159F1C9E"/>
    <w:rsid w:val="15E62031"/>
    <w:rsid w:val="164F4B0E"/>
    <w:rsid w:val="166167A3"/>
    <w:rsid w:val="17CC7129"/>
    <w:rsid w:val="180A4C18"/>
    <w:rsid w:val="18C33745"/>
    <w:rsid w:val="19120228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E0C3498"/>
    <w:rsid w:val="1E1F09F2"/>
    <w:rsid w:val="1F004D2E"/>
    <w:rsid w:val="1F4B7FF0"/>
    <w:rsid w:val="1F86727A"/>
    <w:rsid w:val="1FE53BC7"/>
    <w:rsid w:val="207E61A3"/>
    <w:rsid w:val="22B20386"/>
    <w:rsid w:val="22C5630B"/>
    <w:rsid w:val="23733FB9"/>
    <w:rsid w:val="23955CDE"/>
    <w:rsid w:val="23B92805"/>
    <w:rsid w:val="244B45EE"/>
    <w:rsid w:val="251946ED"/>
    <w:rsid w:val="253F4091"/>
    <w:rsid w:val="25BA5ED0"/>
    <w:rsid w:val="275B0A3D"/>
    <w:rsid w:val="28BA1D43"/>
    <w:rsid w:val="28E13773"/>
    <w:rsid w:val="29244625"/>
    <w:rsid w:val="294A1318"/>
    <w:rsid w:val="2A3D4D98"/>
    <w:rsid w:val="2B1C6CE5"/>
    <w:rsid w:val="2BDF043E"/>
    <w:rsid w:val="2C566D5A"/>
    <w:rsid w:val="2D6E1553"/>
    <w:rsid w:val="2ED50E10"/>
    <w:rsid w:val="2F683E67"/>
    <w:rsid w:val="302C533B"/>
    <w:rsid w:val="31CF5C1D"/>
    <w:rsid w:val="31E4154A"/>
    <w:rsid w:val="31F041C4"/>
    <w:rsid w:val="32543208"/>
    <w:rsid w:val="33B54E5D"/>
    <w:rsid w:val="33F22CD8"/>
    <w:rsid w:val="34A749EE"/>
    <w:rsid w:val="36CE17DB"/>
    <w:rsid w:val="370D205E"/>
    <w:rsid w:val="37733392"/>
    <w:rsid w:val="37B4019C"/>
    <w:rsid w:val="37CA74F9"/>
    <w:rsid w:val="37CD3840"/>
    <w:rsid w:val="37F94635"/>
    <w:rsid w:val="383E473E"/>
    <w:rsid w:val="39405911"/>
    <w:rsid w:val="397D1296"/>
    <w:rsid w:val="39D52E80"/>
    <w:rsid w:val="3A856654"/>
    <w:rsid w:val="3B2B5D12"/>
    <w:rsid w:val="3B5D4EDB"/>
    <w:rsid w:val="3B702E61"/>
    <w:rsid w:val="3B914B85"/>
    <w:rsid w:val="3BE86E9B"/>
    <w:rsid w:val="3CCD6091"/>
    <w:rsid w:val="3CDA221F"/>
    <w:rsid w:val="3D0D2931"/>
    <w:rsid w:val="3DF56C47"/>
    <w:rsid w:val="3E104487"/>
    <w:rsid w:val="3EA64DEB"/>
    <w:rsid w:val="3EE85404"/>
    <w:rsid w:val="3F8213B4"/>
    <w:rsid w:val="40552625"/>
    <w:rsid w:val="405D597D"/>
    <w:rsid w:val="414354FB"/>
    <w:rsid w:val="4246496D"/>
    <w:rsid w:val="42902152"/>
    <w:rsid w:val="43413334"/>
    <w:rsid w:val="44A1408B"/>
    <w:rsid w:val="44DF49AB"/>
    <w:rsid w:val="452B604A"/>
    <w:rsid w:val="456C67DF"/>
    <w:rsid w:val="461070BE"/>
    <w:rsid w:val="4628420F"/>
    <w:rsid w:val="474D04FA"/>
    <w:rsid w:val="47B02837"/>
    <w:rsid w:val="48A95C04"/>
    <w:rsid w:val="48CB5B7A"/>
    <w:rsid w:val="497418F4"/>
    <w:rsid w:val="49865F45"/>
    <w:rsid w:val="49A62143"/>
    <w:rsid w:val="4A203CA4"/>
    <w:rsid w:val="4A5C2C59"/>
    <w:rsid w:val="4ABA5EA6"/>
    <w:rsid w:val="4AC40AD3"/>
    <w:rsid w:val="4B313C8F"/>
    <w:rsid w:val="4B9B38DE"/>
    <w:rsid w:val="4C5B2671"/>
    <w:rsid w:val="4CF11927"/>
    <w:rsid w:val="4DCD4142"/>
    <w:rsid w:val="4E712D20"/>
    <w:rsid w:val="4FCB5FB2"/>
    <w:rsid w:val="500B0F52"/>
    <w:rsid w:val="50C03AEB"/>
    <w:rsid w:val="516E1798"/>
    <w:rsid w:val="51A67184"/>
    <w:rsid w:val="522D51B0"/>
    <w:rsid w:val="52340DC0"/>
    <w:rsid w:val="525A1D1D"/>
    <w:rsid w:val="528F202D"/>
    <w:rsid w:val="52A25112"/>
    <w:rsid w:val="53C20C47"/>
    <w:rsid w:val="53D004E8"/>
    <w:rsid w:val="53D61877"/>
    <w:rsid w:val="54A61249"/>
    <w:rsid w:val="54F621D1"/>
    <w:rsid w:val="55945546"/>
    <w:rsid w:val="55A75252"/>
    <w:rsid w:val="56A84DDC"/>
    <w:rsid w:val="56C8194B"/>
    <w:rsid w:val="57471FC5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F54B1C"/>
    <w:rsid w:val="5D3F223B"/>
    <w:rsid w:val="5D4E06D0"/>
    <w:rsid w:val="5E316028"/>
    <w:rsid w:val="5E7C7AC4"/>
    <w:rsid w:val="5F155949"/>
    <w:rsid w:val="5FF4555F"/>
    <w:rsid w:val="5FFB4B3F"/>
    <w:rsid w:val="601A7C66"/>
    <w:rsid w:val="60B60A66"/>
    <w:rsid w:val="618172C6"/>
    <w:rsid w:val="61C77F4D"/>
    <w:rsid w:val="61ED04B8"/>
    <w:rsid w:val="626764BC"/>
    <w:rsid w:val="630A2F55"/>
    <w:rsid w:val="63581FC8"/>
    <w:rsid w:val="63E1229E"/>
    <w:rsid w:val="64D67BCE"/>
    <w:rsid w:val="64F8164D"/>
    <w:rsid w:val="651E4E2C"/>
    <w:rsid w:val="65551782"/>
    <w:rsid w:val="658729D1"/>
    <w:rsid w:val="65CC59A3"/>
    <w:rsid w:val="66466D22"/>
    <w:rsid w:val="66821BAC"/>
    <w:rsid w:val="67044388"/>
    <w:rsid w:val="675E0EE9"/>
    <w:rsid w:val="67682BAE"/>
    <w:rsid w:val="683C61EA"/>
    <w:rsid w:val="692D1AE1"/>
    <w:rsid w:val="694F1A58"/>
    <w:rsid w:val="69A26810"/>
    <w:rsid w:val="6A34408B"/>
    <w:rsid w:val="6AA336F8"/>
    <w:rsid w:val="6AB159AD"/>
    <w:rsid w:val="6AE54422"/>
    <w:rsid w:val="6B5C220A"/>
    <w:rsid w:val="6BB65DBE"/>
    <w:rsid w:val="6C0B435C"/>
    <w:rsid w:val="6C4433CA"/>
    <w:rsid w:val="6C692E30"/>
    <w:rsid w:val="6D564A2A"/>
    <w:rsid w:val="6E7A1325"/>
    <w:rsid w:val="6EB32A89"/>
    <w:rsid w:val="6EC627BC"/>
    <w:rsid w:val="6EC66318"/>
    <w:rsid w:val="6FE7340C"/>
    <w:rsid w:val="6FEA24DA"/>
    <w:rsid w:val="707943B4"/>
    <w:rsid w:val="71CE58C0"/>
    <w:rsid w:val="738844E4"/>
    <w:rsid w:val="73A3131E"/>
    <w:rsid w:val="73FC458A"/>
    <w:rsid w:val="740C62FA"/>
    <w:rsid w:val="74566390"/>
    <w:rsid w:val="74D5034D"/>
    <w:rsid w:val="75E1612D"/>
    <w:rsid w:val="77B80B76"/>
    <w:rsid w:val="783224F8"/>
    <w:rsid w:val="7AD1051F"/>
    <w:rsid w:val="7BAC2D3A"/>
    <w:rsid w:val="7BC65BA9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5">
    <w:name w:val="toc 2"/>
    <w:basedOn w:val="1"/>
    <w:next w:val="1"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Body Text First Indent"/>
    <w:basedOn w:val="4"/>
    <w:qFormat/>
    <w:uiPriority w:val="0"/>
    <w:pPr>
      <w:spacing w:line="360" w:lineRule="auto"/>
      <w:ind w:firstLine="420" w:firstLineChars="100"/>
    </w:pPr>
    <w:rPr>
      <w:szCs w:val="2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3">
    <w:name w:val="p0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4">
    <w:name w:val="p16"/>
    <w:basedOn w:val="1"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17">
    <w:name w:val="Table Normal"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段"/>
    <w:basedOn w:val="1"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19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6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1">
    <w:name w:val="列表段落1"/>
    <w:basedOn w:val="1"/>
    <w:qFormat/>
    <w:uiPriority w:val="34"/>
    <w:pPr>
      <w:ind w:firstLine="420" w:firstLineChars="200"/>
    </w:p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3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4">
    <w:name w:val="标题 1 Char1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paragraph" w:customStyle="1" w:styleId="25">
    <w:name w:val="_Style 1"/>
    <w:basedOn w:val="1"/>
    <w:qFormat/>
    <w:uiPriority w:val="34"/>
    <w:pPr>
      <w:ind w:firstLine="420" w:firstLineChars="200"/>
    </w:pPr>
  </w:style>
  <w:style w:type="paragraph" w:customStyle="1" w:styleId="26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27">
    <w:name w:val="List Paragraph1"/>
    <w:basedOn w:val="1"/>
    <w:qFormat/>
    <w:uiPriority w:val="99"/>
    <w:pPr>
      <w:widowControl w:val="0"/>
      <w:ind w:firstLine="420" w:firstLineChars="200"/>
      <w:jc w:val="both"/>
    </w:pPr>
    <w:rPr>
      <w:rFonts w:ascii="Times New Roman" w:hAnsi="Times New Roman"/>
    </w:rPr>
  </w:style>
  <w:style w:type="character" w:customStyle="1" w:styleId="28">
    <w:name w:val="fontstyle01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1225</Words>
  <Characters>1331</Characters>
  <Lines>0</Lines>
  <Paragraphs>0</Paragraphs>
  <TotalTime>9</TotalTime>
  <ScaleCrop>false</ScaleCrop>
  <LinksUpToDate>false</LinksUpToDate>
  <CharactersWithSpaces>1755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2025-04-11T08:48:12Z</cp:lastPrinted>
  <dcterms:modified xsi:type="dcterms:W3CDTF">2025-04-11T08:57:46Z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