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0"/>
          <w:szCs w:val="40"/>
          <w:lang w:val="en-US" w:eastAsia="zh-CN" w:bidi="ar"/>
        </w:rPr>
        <w:t>银行经营状况及安全性指标表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9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545"/>
        <w:gridCol w:w="1830"/>
        <w:gridCol w:w="2580"/>
        <w:gridCol w:w="2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指标说明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相关数据在报告中所在页码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净资产总额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资本充足率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流动性比例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资产利润率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注：数据来源应为已披露的2023年年度报告或者2023年经审计年度报告中的净资产总额、资本充足率、不良贷款率、资产利润率以及人民币流动性比例，需标注相关数值在报告中所在页码的位置。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70" w:firstLineChars="918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参评银行全称（盖章）_________________________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10" w:firstLineChars="1718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2024年 6月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542C396B"/>
    <w:rsid w:val="542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2024-06-21T07:09:00Z</dcterms:created>
  <dc:creator>谷子</dc:creator>
  <cp:lastModifiedBy>谷子</cp:lastModifiedBy>
  <dcterms:modified xsi:type="dcterms:W3CDTF">2024-06-21T07:10:15Z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CE423FD3D8D84693A721E54E9DF893D7_11</vt:lpwstr>
  </property>
</Properties>
</file>