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设备采购清单</w:t>
      </w:r>
    </w:p>
    <w:p/>
    <w:tbl>
      <w:tblPr>
        <w:tblStyle w:val="7"/>
        <w:tblW w:w="8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2576"/>
        <w:gridCol w:w="765"/>
        <w:gridCol w:w="499"/>
        <w:gridCol w:w="784"/>
        <w:gridCol w:w="148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2576"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设备名称</w:t>
            </w:r>
          </w:p>
        </w:tc>
        <w:tc>
          <w:tcPr>
            <w:tcW w:w="76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参考型号</w:t>
            </w:r>
          </w:p>
        </w:tc>
        <w:tc>
          <w:tcPr>
            <w:tcW w:w="499"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单通道注射泵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双通道注射泵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bookmarkStart w:id="0" w:name="_GoBack"/>
            <w:bookmarkEnd w:id="0"/>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病人监护仪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多导联心电分析系统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经皮黄疸仪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除颤监护仪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2"/>
                <w:sz w:val="22"/>
                <w:szCs w:val="22"/>
                <w:u w:val="none"/>
                <w:lang w:val="en-US" w:eastAsia="zh-CN" w:bidi="ar-SA"/>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sz w:val="22"/>
                <w:szCs w:val="22"/>
                <w:u w:val="none"/>
                <w:lang w:val="en-US" w:eastAsia="zh-CN"/>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66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b/>
          <w:bCs/>
          <w:i w:val="0"/>
          <w:iCs w:val="0"/>
          <w:color w:val="000000"/>
          <w:kern w:val="0"/>
          <w:sz w:val="32"/>
          <w:szCs w:val="32"/>
          <w:u w:val="none"/>
          <w:lang w:val="en-US" w:eastAsia="zh-CN" w:bidi="ar"/>
        </w:rPr>
      </w:pPr>
      <w:r>
        <w:rPr>
          <w:rFonts w:hint="eastAsia" w:asciiTheme="minorEastAsia" w:hAnsiTheme="minorEastAsia"/>
          <w:b/>
          <w:bCs/>
          <w:kern w:val="0"/>
          <w:sz w:val="28"/>
          <w:szCs w:val="28"/>
          <w:lang w:val="en-US" w:eastAsia="zh-CN"/>
        </w:rPr>
        <w:t>二、设备</w:t>
      </w:r>
      <w:r>
        <w:rPr>
          <w:rFonts w:hint="eastAsia" w:asciiTheme="minorEastAsia" w:hAnsiTheme="minorEastAsia"/>
          <w:b/>
          <w:bCs/>
          <w:kern w:val="0"/>
          <w:sz w:val="28"/>
          <w:szCs w:val="28"/>
        </w:rPr>
        <w:t>参数要求</w:t>
      </w:r>
    </w:p>
    <w:p>
      <w:pPr>
        <w:numPr>
          <w:ilvl w:val="0"/>
          <w:numId w:val="0"/>
        </w:numPr>
        <w:ind w:leftChars="0"/>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cs="宋体"/>
          <w:b/>
          <w:bCs/>
          <w:i w:val="0"/>
          <w:iCs w:val="0"/>
          <w:color w:val="000000"/>
          <w:kern w:val="0"/>
          <w:sz w:val="32"/>
          <w:szCs w:val="32"/>
          <w:u w:val="none"/>
          <w:lang w:val="en-US" w:eastAsia="zh-CN" w:bidi="ar"/>
        </w:rPr>
        <w:t>一、单通道</w:t>
      </w:r>
      <w:r>
        <w:rPr>
          <w:rFonts w:hint="eastAsia" w:ascii="宋体" w:hAnsi="宋体" w:eastAsia="宋体" w:cs="宋体"/>
          <w:b/>
          <w:bCs/>
          <w:i w:val="0"/>
          <w:iCs w:val="0"/>
          <w:color w:val="000000"/>
          <w:kern w:val="0"/>
          <w:sz w:val="32"/>
          <w:szCs w:val="32"/>
          <w:u w:val="none"/>
          <w:lang w:val="en-US" w:eastAsia="zh-CN" w:bidi="ar"/>
        </w:rPr>
        <w:t>注射泵</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注射精度≤±2% 或0.005mL/h取大者</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速率范围：0.1-1200ml/h, 最小步进0.1ml/h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预置输液总量范围：0.1-9999ml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快进流速范围：0.1-1200ml/h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支持注射器规格：5ml、10ml、20ml、30ml、50/60ml；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LCD显示屏，可同屏显示：输注模式、速度、当前注射状态、预置量、累计量、电池状态、报警压力阈值和在线压力等信息；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锁屏功能：支持自动锁屏，自动锁屏时间可调</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在线滴定功能：安全不中断输液而更改速率；</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分低级、中级、高级三级报警。可实现声光报警提示，同时显示具体报警信息；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在线动态压力监测，可实时显示当前压力数值；</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★电池工作时间≥6小时@5ml/h，可升级至≥12小时@5ml/h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接口支持RS232数据传输、护士呼叫、DC输入功能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13、</w:t>
      </w:r>
      <w:r>
        <w:rPr>
          <w:rFonts w:hint="eastAsia" w:ascii="宋体" w:hAnsi="宋体" w:eastAsia="宋体" w:cs="宋体"/>
          <w:sz w:val="24"/>
          <w:szCs w:val="24"/>
        </w:rPr>
        <w:t>防进液等级IPX4</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14、</w:t>
      </w:r>
      <w:r>
        <w:rPr>
          <w:rFonts w:hint="eastAsia" w:ascii="宋体" w:hAnsi="宋体" w:eastAsia="宋体" w:cs="宋体"/>
          <w:sz w:val="24"/>
          <w:szCs w:val="24"/>
        </w:rPr>
        <w:t>可升级无线模块，实现无线联网监测；</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15、</w:t>
      </w:r>
      <w:r>
        <w:rPr>
          <w:rFonts w:hint="eastAsia" w:ascii="宋体" w:hAnsi="宋体" w:eastAsia="宋体" w:cs="宋体"/>
          <w:sz w:val="24"/>
          <w:szCs w:val="24"/>
        </w:rPr>
        <w:t>注射泵推杆无皮套设计，更易清洁，符合院感要求</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16、</w:t>
      </w:r>
      <w:r>
        <w:rPr>
          <w:rFonts w:hint="eastAsia" w:ascii="宋体" w:hAnsi="宋体" w:eastAsia="宋体" w:cs="宋体"/>
          <w:sz w:val="24"/>
          <w:szCs w:val="24"/>
        </w:rPr>
        <w:t>整机重量不超过1.8kg，主机自带提手，方便携带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rPr>
      </w:pPr>
      <w:r>
        <w:rPr>
          <w:rFonts w:hint="eastAsia" w:ascii="宋体" w:hAnsi="宋体" w:cs="宋体"/>
          <w:sz w:val="24"/>
          <w:szCs w:val="24"/>
          <w:lang w:val="en-US" w:eastAsia="zh-CN"/>
        </w:rPr>
        <w:t>17、</w:t>
      </w:r>
      <w:r>
        <w:rPr>
          <w:rFonts w:hint="eastAsia" w:ascii="宋体" w:hAnsi="宋体" w:eastAsia="宋体" w:cs="宋体"/>
          <w:sz w:val="24"/>
          <w:szCs w:val="24"/>
        </w:rPr>
        <w:t>满足EN1789标准，适合在救护车使用。</w:t>
      </w:r>
    </w:p>
    <w:p>
      <w:pPr>
        <w:numPr>
          <w:ilvl w:val="0"/>
          <w:numId w:val="0"/>
        </w:numPr>
        <w:ind w:leftChars="0"/>
        <w:jc w:val="center"/>
        <w:rPr>
          <w:rFonts w:hint="eastAsia" w:ascii="宋体" w:hAnsi="宋体" w:eastAsia="宋体" w:cs="宋体"/>
          <w:b/>
          <w:bCs/>
          <w:i w:val="0"/>
          <w:iCs w:val="0"/>
          <w:color w:val="000000"/>
          <w:kern w:val="0"/>
          <w:sz w:val="32"/>
          <w:szCs w:val="32"/>
          <w:u w:val="none"/>
          <w:lang w:val="en-US" w:eastAsia="zh-CN" w:bidi="ar"/>
        </w:rPr>
      </w:pPr>
    </w:p>
    <w:p>
      <w:pPr>
        <w:numPr>
          <w:ilvl w:val="0"/>
          <w:numId w:val="0"/>
        </w:numPr>
        <w:ind w:leftChars="0"/>
        <w:jc w:val="center"/>
        <w:rPr>
          <w:rFonts w:ascii="宋体" w:hAnsi="宋体"/>
          <w:b/>
          <w:color w:val="auto"/>
          <w:sz w:val="24"/>
          <w:szCs w:val="24"/>
        </w:rPr>
      </w:pPr>
      <w:r>
        <w:rPr>
          <w:rFonts w:hint="eastAsia" w:ascii="宋体" w:hAnsi="宋体" w:cs="宋体"/>
          <w:b/>
          <w:bCs/>
          <w:i w:val="0"/>
          <w:iCs w:val="0"/>
          <w:color w:val="000000"/>
          <w:kern w:val="0"/>
          <w:sz w:val="32"/>
          <w:szCs w:val="32"/>
          <w:u w:val="none"/>
          <w:lang w:val="en-US" w:eastAsia="zh-CN" w:bidi="ar"/>
        </w:rPr>
        <w:t>二、</w:t>
      </w:r>
      <w:r>
        <w:rPr>
          <w:rFonts w:hint="eastAsia" w:ascii="宋体" w:hAnsi="宋体" w:eastAsia="宋体" w:cs="宋体"/>
          <w:b/>
          <w:bCs/>
          <w:i w:val="0"/>
          <w:iCs w:val="0"/>
          <w:color w:val="000000"/>
          <w:kern w:val="0"/>
          <w:sz w:val="32"/>
          <w:szCs w:val="32"/>
          <w:u w:val="none"/>
          <w:lang w:val="en-US" w:eastAsia="zh-CN" w:bidi="ar"/>
        </w:rPr>
        <w:t>双通道注射泵</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注射精度≤±2% 或0.005mL/h取大者</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速率范围：0.1-2000ml/h, 最小步进0.01ml/h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预置输液总量范围：0.1-9999ml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快进流速范围：1-2000ml/h，具有自动和手动快进可选；</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KVO：0.1-5ml/h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可自动统计四种累计量：24h累计量、最近累计量、自定义时间段累计量、定时间隔累计量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支持注射器规格：5ml、10ml、20ml、30ml、50/60ml；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无需额外工具或设备，可直接在注射泵上添加注射器品牌名称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具有以下注射模式：速度模式、时间模式、体重模式、梯度模式、序列模式、微量模式和间断给药模式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具有联机功能，可自动启动第二通道注射，保证临床连续给药功能，维持血药浓度稳定。</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LCD显示屏，可同屏显示：输注模式、速度、当前注射状态、预置量、累计量、电池状态、报警压力阈值和在线压力等信息；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全中文软件操作界面</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13、</w:t>
      </w:r>
      <w:r>
        <w:rPr>
          <w:rFonts w:hint="eastAsia" w:ascii="宋体" w:hAnsi="宋体" w:eastAsia="宋体" w:cs="宋体"/>
          <w:sz w:val="24"/>
          <w:szCs w:val="24"/>
        </w:rPr>
        <w:t>锁屏功能：支持自动锁屏，自动锁屏时间可调</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14、</w:t>
      </w:r>
      <w:r>
        <w:rPr>
          <w:rFonts w:hint="eastAsia" w:ascii="宋体" w:hAnsi="宋体" w:eastAsia="宋体" w:cs="宋体"/>
          <w:sz w:val="24"/>
          <w:szCs w:val="24"/>
        </w:rPr>
        <w:t>在线滴定功能：安全不中断输液而更改速率；</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15、</w:t>
      </w:r>
      <w:r>
        <w:rPr>
          <w:rFonts w:hint="eastAsia" w:ascii="宋体" w:hAnsi="宋体" w:eastAsia="宋体" w:cs="宋体"/>
          <w:sz w:val="24"/>
          <w:szCs w:val="24"/>
        </w:rPr>
        <w:t>具备报警功能。可实现声光，动画和文字同时报警提示，同时显示具体报警信息；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16、</w:t>
      </w:r>
      <w:r>
        <w:rPr>
          <w:rFonts w:hint="eastAsia" w:ascii="宋体" w:hAnsi="宋体" w:eastAsia="宋体" w:cs="宋体"/>
          <w:sz w:val="24"/>
          <w:szCs w:val="24"/>
        </w:rPr>
        <w:t>在线动态压力监测，可实时显示当前压力数值；</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压力报警阈值至少12档可调，最低75mmHg</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信息储存：可存储至少2000条的历史记录</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单通道注射时，电池工作时间≥5小时@5ml/h，可升级至≥10小时@5ml/h</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接口支持RS232数据传输、护士呼叫、DC输入功能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21、</w:t>
      </w:r>
      <w:r>
        <w:rPr>
          <w:rFonts w:hint="eastAsia" w:ascii="宋体" w:hAnsi="宋体" w:eastAsia="宋体" w:cs="宋体"/>
          <w:sz w:val="24"/>
          <w:szCs w:val="24"/>
        </w:rPr>
        <w:t>防异物及进液等级IP34</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22、</w:t>
      </w:r>
      <w:r>
        <w:rPr>
          <w:rFonts w:hint="eastAsia" w:ascii="宋体" w:hAnsi="宋体" w:eastAsia="宋体" w:cs="宋体"/>
          <w:sz w:val="24"/>
          <w:szCs w:val="24"/>
        </w:rPr>
        <w:t>可升级无线模块，实现无线联网监测；</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23、</w:t>
      </w:r>
      <w:r>
        <w:rPr>
          <w:rFonts w:hint="eastAsia" w:ascii="宋体" w:hAnsi="宋体" w:eastAsia="宋体" w:cs="宋体"/>
          <w:sz w:val="24"/>
          <w:szCs w:val="24"/>
        </w:rPr>
        <w:t>整机重量不超过3.6kg，主机自带提手，方便携带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color w:val="auto"/>
          <w:sz w:val="24"/>
          <w:szCs w:val="24"/>
        </w:rPr>
      </w:pPr>
    </w:p>
    <w:p>
      <w:pPr>
        <w:pStyle w:val="3"/>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bCs/>
          <w:i w:val="0"/>
          <w:iCs w:val="0"/>
          <w:color w:val="000000"/>
          <w:kern w:val="0"/>
          <w:sz w:val="32"/>
          <w:szCs w:val="32"/>
          <w:u w:val="none"/>
          <w:lang w:val="en-US" w:eastAsia="zh-CN" w:bidi="ar"/>
        </w:rPr>
      </w:pPr>
      <w:r>
        <w:rPr>
          <w:rFonts w:hint="eastAsia" w:ascii="宋体" w:hAnsi="宋体" w:cs="宋体"/>
          <w:b/>
          <w:bCs/>
          <w:i w:val="0"/>
          <w:iCs w:val="0"/>
          <w:color w:val="000000"/>
          <w:kern w:val="0"/>
          <w:sz w:val="32"/>
          <w:szCs w:val="32"/>
          <w:u w:val="none"/>
          <w:lang w:val="en-US" w:eastAsia="zh-CN" w:bidi="ar"/>
        </w:rPr>
        <w:t>三、</w:t>
      </w:r>
      <w:r>
        <w:rPr>
          <w:rFonts w:hint="eastAsia" w:ascii="宋体" w:hAnsi="宋体" w:eastAsia="宋体" w:cs="宋体"/>
          <w:b/>
          <w:bCs/>
          <w:i w:val="0"/>
          <w:iCs w:val="0"/>
          <w:color w:val="000000"/>
          <w:kern w:val="0"/>
          <w:sz w:val="32"/>
          <w:szCs w:val="32"/>
          <w:u w:val="none"/>
          <w:lang w:val="en-US" w:eastAsia="zh-CN" w:bidi="ar"/>
        </w:rPr>
        <w:t>病人监护仪</w:t>
      </w:r>
    </w:p>
    <w:p>
      <w:pPr>
        <w:keepNext w:val="0"/>
        <w:keepLines w:val="0"/>
        <w:pageBreakBefore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1：整机要求：</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1.1、一体化便携监护仪，整机无风扇设计。</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1.2、配置提手,方便移动。 </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★1.3、≥10.1英寸彩色液晶触摸屏，分辨率高达1280*800像素或更高，≥8通道波形显示。</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1.4、屏幕采用最新电容屏非电阻屏。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1.5、显示屏采用宽视角技术，支持170度可视范围</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1.6、内置锂电池，插槽式设计，无需螺丝刀工具支持快速拆卸和安装。</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★1.7、安全规格：ECG, TEMP, IBP, SpO2 , NIBP监测参数抗电击程度为防除颤CF型</w:t>
      </w:r>
      <w:r>
        <w:rPr>
          <w:rFonts w:hint="eastAsia" w:ascii="宋体" w:hAnsi="宋体" w:eastAsia="宋体" w:cs="宋体"/>
          <w:sz w:val="24"/>
          <w:szCs w:val="24"/>
        </w:rPr>
        <w:drawing>
          <wp:inline distT="0" distB="0" distL="114300" distR="114300">
            <wp:extent cx="257175" cy="152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57175" cy="152400"/>
                    </a:xfrm>
                    <a:prstGeom prst="rect">
                      <a:avLst/>
                    </a:prstGeom>
                    <a:noFill/>
                    <a:ln>
                      <a:noFill/>
                    </a:ln>
                  </pic:spPr>
                </pic:pic>
              </a:graphicData>
            </a:graphic>
          </wp:inline>
        </w:drawing>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1.8、监护仪设计使用年限≥8年。</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1.9、监护仪清洁消毒维护支持的消毒剂≥40种</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1.10、监护仪主机工作大气压环境范围：57.0~107.4kPa。</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1.11、监护仪主机工作温度环境范围：0~40°C。</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1.12、监护仪主机工作湿度环境范围；15~95%。</w:t>
      </w:r>
    </w:p>
    <w:p>
      <w:pPr>
        <w:keepNext w:val="0"/>
        <w:keepLines w:val="0"/>
        <w:pageBreakBefore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2：监测参数：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2.1、配置3/5导心电，呼吸，无创血压，血氧饱和度，脉搏和双通道体温参数监测。</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★2.2、心电监护支持心率，ST段测量，心律失常分析，QT/QTc连续实时测量和对应报警功能。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2.3、心电算法通过AHA/MIT-BIH数据库验证。</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2.4、心电波形扫描速度支持6.25mm/s、12.5 mm/s、25 mm/s和50 mm/s。</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2.5、提供窗口支持心脏下壁，侧壁和前壁对应多个ST片段的同屏实时显示。</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2.6、支持≥20种心律失常分析,包括房颤分析。</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2.7、QT和QTc实时监测参数测量范围：200～800 ms。</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2.8、支持升级提供过去24小时心电概览报告查看与打印，包括心率统计结果，心律失常统计结果，ST统计和QT/QTc统计结果。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2.9、提供SpO2,PR和PI参数的实时监测，适用于成人，小儿和新生儿。</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2.10、支持指套式血氧探头，IPX7防水等级，支持液体浸泡消毒和清洁。</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2.11、配置无创血压测量，适用于成人，小儿和新生儿。</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★2.12、提供手动，自动，连续和序列4种测量模式，并提供24小时血压统计结果，满足临床应用。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2.13、无创血压成人测量范围：收缩压25~290mmHg，舒张压10~250mmHg，平均压15~260mmHg。</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2.14、提供辅助静脉穿刺功能。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2.15、提供双通道体温和温差参数的监测, 并可根据需要更改体温通道标名。</w:t>
      </w:r>
    </w:p>
    <w:p>
      <w:pPr>
        <w:keepNext w:val="0"/>
        <w:keepLines w:val="0"/>
        <w:pageBreakBefore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3：系统功能：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3.1、★支持所有监测参数报警限一键自动设置功能，满足医护团队快速管理患者报警需求，产品用户手册提供报警限自动设置规则。</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3.2、支持肾功能计算功能。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3.3、具有图形化技术报警指示功能，帮助医护团队快速识别报警来源。</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3.4、支持≥120小时趋势图和趋势表回顾，支持选择不同趋势组回顾。</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3.5、≥1000条事件回顾。每条报警事件至少能够存储32秒三道相关波形，以及报警触发时所有测量参数值。</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3.6、≥1000组NIBP测量结果。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3.7、≥120小时（分辨率1分钟）ST模板存储与回顾。</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3.8、支持48小时全息波形的存储与回顾功能。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3.9、支持监护仪历史病人数据的存储和回顾，并支持通过USB接口将历史病人数据导出到U盘。</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3.10、支持RJ45接口进行有线网络通信，和除颤监护仪一起联网通信到中心监护系统。</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3.11、支持监护仪进入夜间模式，隐私模式，演示模式和待机模式。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★3.12、提供计时器功能，界面区提供设置≥4个计时器，每个计时器支持独立设置和计时功能，计时方向包括正计时和倒计时两种选择。</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3.13、支持格拉斯哥昏迷评分（GCS）功能。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3.14、支持升级MEWS（改良早期预警评分）、NEWS（英国早期预警评分）和NEWS2（英国早期预警评分2）的动态评分。</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★3.15、动态趋势界面可支持统计1-24小时心律失常报警、参数超限报警信息，并对超限报警区间的波形进行高亮显示，帮助医护人员快速识别异常趋势信息。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3.16、提供屏幕截图功能，将屏幕截图通过USB接口导出到U盘。</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3.17、支持它床观察，可同时监视≥12它床的报警信息。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3.18、支持与护士站中心监护系统联网，实现患者的集中监护和报警管理。</w:t>
      </w:r>
    </w:p>
    <w:p>
      <w:pPr>
        <w:rPr>
          <w:rFonts w:hint="eastAsia"/>
          <w:lang w:val="en-US" w:eastAsia="zh-CN"/>
        </w:rPr>
      </w:pPr>
    </w:p>
    <w:p>
      <w:pPr>
        <w:rPr>
          <w:rFonts w:hint="default"/>
          <w:lang w:val="en-US" w:eastAsia="zh-CN"/>
        </w:rPr>
      </w:pPr>
    </w:p>
    <w:p>
      <w:pPr>
        <w:pStyle w:val="4"/>
        <w:jc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四、多导联分析系统</w:t>
      </w:r>
    </w:p>
    <w:tbl>
      <w:tblPr>
        <w:tblStyle w:val="7"/>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3"/>
        <w:gridCol w:w="1134"/>
        <w:gridCol w:w="668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shd w:val="pct5" w:color="auto" w:fill="auto"/>
            <w:noWrap w:val="0"/>
            <w:vAlign w:val="center"/>
          </w:tcPr>
          <w:p>
            <w:pPr>
              <w:ind w:left="-75" w:right="-716" w:rightChars="-341"/>
              <w:rPr>
                <w:rFonts w:ascii="宋体" w:hAnsi="宋体"/>
                <w:sz w:val="18"/>
                <w:szCs w:val="18"/>
              </w:rPr>
            </w:pPr>
            <w:r>
              <w:rPr>
                <w:rFonts w:hint="eastAsia" w:ascii="宋体" w:hAnsi="宋体"/>
                <w:sz w:val="18"/>
                <w:szCs w:val="18"/>
              </w:rPr>
              <w:t>序号</w:t>
            </w:r>
          </w:p>
        </w:tc>
        <w:tc>
          <w:tcPr>
            <w:tcW w:w="7817" w:type="dxa"/>
            <w:gridSpan w:val="2"/>
            <w:tcBorders>
              <w:top w:val="single" w:color="808080" w:sz="4" w:space="0"/>
              <w:left w:val="single" w:color="808080" w:sz="4" w:space="0"/>
              <w:bottom w:val="single" w:color="808080" w:sz="4" w:space="0"/>
              <w:right w:val="single" w:color="808080" w:sz="4" w:space="0"/>
            </w:tcBorders>
            <w:shd w:val="pct5" w:color="auto" w:fill="auto"/>
            <w:noWrap w:val="0"/>
            <w:vAlign w:val="center"/>
          </w:tcPr>
          <w:p>
            <w:pPr>
              <w:ind w:left="-75" w:right="-716" w:rightChars="-341"/>
              <w:rPr>
                <w:rFonts w:ascii="宋体" w:hAnsi="宋体"/>
                <w:sz w:val="18"/>
                <w:szCs w:val="18"/>
              </w:rPr>
            </w:pPr>
            <w:r>
              <w:rPr>
                <w:rFonts w:hint="eastAsia" w:ascii="宋体" w:hAnsi="宋体"/>
                <w:sz w:val="18"/>
                <w:szCs w:val="18"/>
              </w:rPr>
              <w:t>技术参数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导联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支持12/15/16/18同步</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2</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输入阻抗</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不低于5MΩ。</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3</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输入回路电流</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不大于0.1μA。</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4</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噪声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不超过15μVp-p。</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5</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共模抑制比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不低于89dB。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6</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标准灵敏度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sz w:val="18"/>
              </w:rPr>
              <w:t>10mm/mV</w:t>
            </w:r>
            <w:r>
              <w:rPr>
                <w:sz w:val="18"/>
                <w:u w:val="single"/>
              </w:rPr>
              <w:t>+</w:t>
            </w:r>
            <w:r>
              <w:rPr>
                <w:sz w:val="18"/>
              </w:rPr>
              <w:t>5%</w:t>
            </w:r>
            <w:r>
              <w:rPr>
                <w:rFonts w:hint="eastAsia"/>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7</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灵敏度转换误差</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由10mm/mV转换为5 mm/mV、20mm/mV时，转换误差不大于</w:t>
            </w:r>
            <w:r>
              <w:rPr>
                <w:sz w:val="18"/>
                <w:u w:val="single"/>
              </w:rPr>
              <w:t>+</w:t>
            </w:r>
            <w:r>
              <w:rPr>
                <w:sz w:val="18"/>
              </w:rPr>
              <w:t>5%</w:t>
            </w:r>
            <w:r>
              <w:rPr>
                <w:rFonts w:hint="eastAsia"/>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8</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定标电压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1mV±5%。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9</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耐极化电压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在±300mV直流极化电压下，灵敏度变化不超过5%。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10</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幅频特性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1～60Hz。</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11</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 xml:space="preserve">时间常数        </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不小于3.2s。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12</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工频干扰抑制器</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ascii="宋体" w:hAnsi="宋体"/>
                <w:sz w:val="18"/>
                <w:szCs w:val="18"/>
              </w:rPr>
              <w:t>抑制比不小于20dB。</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59"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13</w:t>
            </w:r>
          </w:p>
        </w:tc>
        <w:tc>
          <w:tcPr>
            <w:tcW w:w="1134"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sz w:val="18"/>
              </w:rPr>
              <w:t>走纸速度</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sz w:val="18"/>
              </w:rPr>
              <w:t>在</w:t>
            </w:r>
            <w:r>
              <w:rPr>
                <w:sz w:val="18"/>
              </w:rPr>
              <w:t>25mm/s</w:t>
            </w:r>
            <w:r>
              <w:rPr>
                <w:rFonts w:hint="eastAsia"/>
                <w:sz w:val="18"/>
              </w:rPr>
              <w:t>和</w:t>
            </w:r>
            <w:r>
              <w:rPr>
                <w:sz w:val="18"/>
              </w:rPr>
              <w:t>50mm/s</w:t>
            </w:r>
            <w:r>
              <w:rPr>
                <w:rFonts w:hint="eastAsia"/>
                <w:sz w:val="18"/>
              </w:rPr>
              <w:t>纸速时</w:t>
            </w:r>
            <w:r>
              <w:rPr>
                <w:sz w:val="18"/>
              </w:rPr>
              <w:t>,</w:t>
            </w:r>
            <w:r>
              <w:rPr>
                <w:rFonts w:hint="eastAsia"/>
                <w:sz w:val="18"/>
              </w:rPr>
              <w:t>误差不超过</w:t>
            </w:r>
            <w:r>
              <w:rPr>
                <w:sz w:val="18"/>
                <w:u w:val="single"/>
              </w:rPr>
              <w:t>+</w:t>
            </w:r>
            <w:r>
              <w:rPr>
                <w:sz w:val="18"/>
              </w:rPr>
              <w:t>5%</w:t>
            </w:r>
            <w:r>
              <w:rPr>
                <w:rFonts w:hint="eastAsia"/>
                <w:sz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3"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14</w:t>
            </w:r>
          </w:p>
        </w:tc>
        <w:tc>
          <w:tcPr>
            <w:tcW w:w="1134" w:type="dxa"/>
            <w:tcBorders>
              <w:top w:val="single" w:color="808080" w:sz="4" w:space="0"/>
              <w:left w:val="single" w:color="808080" w:sz="4" w:space="0"/>
              <w:bottom w:val="single" w:color="808080" w:sz="4" w:space="0"/>
              <w:right w:val="single" w:color="808080" w:sz="4" w:space="0"/>
            </w:tcBorders>
            <w:noWrap w:val="0"/>
            <w:vAlign w:val="top"/>
          </w:tcPr>
          <w:p>
            <w:pPr>
              <w:rPr>
                <w:sz w:val="18"/>
              </w:rPr>
            </w:pPr>
            <w:r>
              <w:rPr>
                <w:sz w:val="18"/>
              </w:rPr>
              <w:t>ECG(</w:t>
            </w:r>
            <w:r>
              <w:rPr>
                <w:rFonts w:hint="eastAsia"/>
                <w:sz w:val="18"/>
              </w:rPr>
              <w:t>常规心电图</w:t>
            </w:r>
            <w:r>
              <w:rPr>
                <w:sz w:val="18"/>
              </w:rPr>
              <w:t>)</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rFonts w:hint="eastAsia"/>
                <w:sz w:val="18"/>
              </w:rPr>
              <w:t>同步采集存贮；屏幕显示、打印；心电波形自动测量、分析及数据打印。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17"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15</w:t>
            </w:r>
          </w:p>
        </w:tc>
        <w:tc>
          <w:tcPr>
            <w:tcW w:w="1134" w:type="dxa"/>
            <w:tcBorders>
              <w:top w:val="single" w:color="808080" w:sz="4" w:space="0"/>
              <w:left w:val="single" w:color="808080" w:sz="4" w:space="0"/>
              <w:bottom w:val="single" w:color="808080" w:sz="4" w:space="0"/>
              <w:right w:val="single" w:color="808080" w:sz="4" w:space="0"/>
            </w:tcBorders>
            <w:noWrap w:val="0"/>
            <w:vAlign w:val="top"/>
          </w:tcPr>
          <w:p>
            <w:pPr>
              <w:rPr>
                <w:sz w:val="18"/>
              </w:rPr>
            </w:pPr>
            <w:r>
              <w:rPr>
                <w:sz w:val="18"/>
              </w:rPr>
              <w:t>VCG</w:t>
            </w:r>
            <w:r>
              <w:rPr>
                <w:rFonts w:hint="eastAsia"/>
                <w:sz w:val="18"/>
              </w:rPr>
              <w:t>（空间向量心电图）和</w:t>
            </w:r>
            <w:r>
              <w:rPr>
                <w:sz w:val="18"/>
              </w:rPr>
              <w:t>TVCG</w:t>
            </w:r>
            <w:r>
              <w:rPr>
                <w:rFonts w:hint="eastAsia"/>
                <w:sz w:val="18"/>
              </w:rPr>
              <w:t>（时间心电向量图）</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rPr>
                <w:sz w:val="18"/>
              </w:rPr>
            </w:pPr>
            <w:r>
              <w:rPr>
                <w:rFonts w:hint="eastAsia"/>
                <w:sz w:val="18"/>
              </w:rPr>
              <w:t>采集并存贮</w:t>
            </w:r>
            <w:r>
              <w:rPr>
                <w:sz w:val="18"/>
              </w:rPr>
              <w:t>X</w:t>
            </w:r>
            <w:r>
              <w:rPr>
                <w:rFonts w:hint="eastAsia"/>
                <w:sz w:val="18"/>
              </w:rPr>
              <w:t>、</w:t>
            </w:r>
            <w:r>
              <w:rPr>
                <w:sz w:val="18"/>
              </w:rPr>
              <w:t>Y</w:t>
            </w:r>
            <w:r>
              <w:rPr>
                <w:rFonts w:hint="eastAsia"/>
                <w:sz w:val="18"/>
              </w:rPr>
              <w:t>、</w:t>
            </w:r>
            <w:r>
              <w:rPr>
                <w:sz w:val="18"/>
              </w:rPr>
              <w:t>Z</w:t>
            </w:r>
            <w:r>
              <w:rPr>
                <w:rFonts w:hint="eastAsia"/>
                <w:sz w:val="18"/>
              </w:rPr>
              <w:t>轴正交心电图及额面、横面、侧面心电向量图，自动分析各向量环的最大向量及心电轴等参数；显示和打印分析结果，含图形及数据。</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840"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16</w:t>
            </w:r>
          </w:p>
        </w:tc>
        <w:tc>
          <w:tcPr>
            <w:tcW w:w="1134" w:type="dxa"/>
            <w:tcBorders>
              <w:top w:val="single" w:color="808080" w:sz="4" w:space="0"/>
              <w:left w:val="single" w:color="808080" w:sz="4" w:space="0"/>
              <w:bottom w:val="single" w:color="808080" w:sz="4" w:space="0"/>
              <w:right w:val="single" w:color="808080" w:sz="4" w:space="0"/>
            </w:tcBorders>
            <w:noWrap w:val="0"/>
            <w:vAlign w:val="top"/>
          </w:tcPr>
          <w:p>
            <w:pPr>
              <w:rPr>
                <w:sz w:val="18"/>
              </w:rPr>
            </w:pPr>
            <w:r>
              <w:rPr>
                <w:rFonts w:hint="eastAsia"/>
                <w:sz w:val="18"/>
              </w:rPr>
              <w:t>心室晚电位（</w:t>
            </w:r>
            <w:r>
              <w:rPr>
                <w:sz w:val="18"/>
              </w:rPr>
              <w:t>VLP</w:t>
            </w:r>
            <w:r>
              <w:rPr>
                <w:rFonts w:hint="eastAsia"/>
                <w:sz w:val="18"/>
              </w:rPr>
              <w:t>）</w:t>
            </w:r>
          </w:p>
          <w:p>
            <w:pPr>
              <w:ind w:firstLine="360" w:firstLineChars="200"/>
              <w:rPr>
                <w:sz w:val="18"/>
              </w:rPr>
            </w:pP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rPr>
                <w:sz w:val="18"/>
              </w:rPr>
            </w:pPr>
            <w:r>
              <w:rPr>
                <w:rFonts w:hint="eastAsia"/>
                <w:sz w:val="18"/>
              </w:rPr>
              <w:t>自动测量和分析晚电位波形、计算</w:t>
            </w:r>
            <w:r>
              <w:rPr>
                <w:sz w:val="18"/>
              </w:rPr>
              <w:t>QRS</w:t>
            </w:r>
            <w:r>
              <w:rPr>
                <w:rFonts w:hint="eastAsia"/>
                <w:sz w:val="18"/>
              </w:rPr>
              <w:t>波参数；心室晚电位时频和频域分析；显示和打印图像及数据。</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3" w:hRule="atLeast"/>
          <w:jc w:val="center"/>
        </w:trPr>
        <w:tc>
          <w:tcPr>
            <w:tcW w:w="363" w:type="dxa"/>
            <w:tcBorders>
              <w:top w:val="single" w:color="808080" w:sz="4" w:space="0"/>
              <w:left w:val="single" w:color="808080" w:sz="4" w:space="0"/>
              <w:bottom w:val="single" w:color="808080" w:sz="4" w:space="0"/>
              <w:right w:val="single" w:color="808080" w:sz="4" w:space="0"/>
            </w:tcBorders>
            <w:noWrap w:val="0"/>
            <w:vAlign w:val="center"/>
          </w:tcPr>
          <w:p>
            <w:pPr>
              <w:ind w:left="-75" w:right="-716" w:rightChars="-341"/>
              <w:rPr>
                <w:rFonts w:ascii="宋体" w:hAnsi="宋体"/>
                <w:sz w:val="18"/>
                <w:szCs w:val="18"/>
              </w:rPr>
            </w:pPr>
            <w:r>
              <w:rPr>
                <w:rFonts w:hint="eastAsia" w:ascii="宋体" w:hAnsi="宋体"/>
                <w:sz w:val="18"/>
                <w:szCs w:val="18"/>
              </w:rPr>
              <w:t>17</w:t>
            </w:r>
          </w:p>
        </w:tc>
        <w:tc>
          <w:tcPr>
            <w:tcW w:w="1134" w:type="dxa"/>
            <w:tcBorders>
              <w:top w:val="single" w:color="808080" w:sz="4" w:space="0"/>
              <w:left w:val="single" w:color="808080" w:sz="4" w:space="0"/>
              <w:bottom w:val="single" w:color="808080" w:sz="4" w:space="0"/>
              <w:right w:val="single" w:color="808080" w:sz="4" w:space="0"/>
            </w:tcBorders>
            <w:noWrap w:val="0"/>
            <w:vAlign w:val="top"/>
          </w:tcPr>
          <w:p>
            <w:pPr>
              <w:rPr>
                <w:sz w:val="18"/>
              </w:rPr>
            </w:pPr>
            <w:r>
              <w:rPr>
                <w:rFonts w:hint="eastAsia"/>
                <w:sz w:val="18"/>
              </w:rPr>
              <w:t>心率变异</w:t>
            </w:r>
            <w:r>
              <w:rPr>
                <w:sz w:val="18"/>
              </w:rPr>
              <w:t>(HRV)</w:t>
            </w:r>
          </w:p>
        </w:tc>
        <w:tc>
          <w:tcPr>
            <w:tcW w:w="6683" w:type="dxa"/>
            <w:tcBorders>
              <w:top w:val="single" w:color="808080" w:sz="4" w:space="0"/>
              <w:left w:val="single" w:color="808080" w:sz="4" w:space="0"/>
              <w:bottom w:val="single" w:color="808080" w:sz="4" w:space="0"/>
              <w:right w:val="single" w:color="808080" w:sz="4" w:space="0"/>
            </w:tcBorders>
            <w:noWrap w:val="0"/>
            <w:vAlign w:val="center"/>
          </w:tcPr>
          <w:p>
            <w:pPr>
              <w:ind w:right="-716" w:rightChars="-341"/>
              <w:rPr>
                <w:rFonts w:ascii="宋体" w:hAnsi="宋体"/>
                <w:sz w:val="18"/>
                <w:szCs w:val="18"/>
              </w:rPr>
            </w:pPr>
            <w:r>
              <w:rPr>
                <w:sz w:val="18"/>
              </w:rPr>
              <w:t>R-R</w:t>
            </w:r>
            <w:r>
              <w:rPr>
                <w:rFonts w:hint="eastAsia"/>
                <w:sz w:val="18"/>
              </w:rPr>
              <w:t>间期统计分析</w:t>
            </w:r>
            <w:r>
              <w:rPr>
                <w:sz w:val="18"/>
              </w:rPr>
              <w:t>, HRV</w:t>
            </w:r>
            <w:r>
              <w:rPr>
                <w:rFonts w:hint="eastAsia"/>
                <w:sz w:val="18"/>
              </w:rPr>
              <w:t>信号时间域统计</w:t>
            </w:r>
            <w:r>
              <w:rPr>
                <w:sz w:val="18"/>
              </w:rPr>
              <w:t>, AR</w:t>
            </w:r>
            <w:r>
              <w:rPr>
                <w:rFonts w:hint="eastAsia"/>
                <w:sz w:val="18"/>
              </w:rPr>
              <w:t>功率谱分析</w:t>
            </w:r>
          </w:p>
        </w:tc>
      </w:tr>
    </w:tbl>
    <w:p>
      <w:pPr>
        <w:keepNext w:val="0"/>
        <w:keepLines w:val="0"/>
        <w:pageBreakBefore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软件功能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▲设备软件需实现与当前心电网络系统无缝连接，从当前系统获取心电相关信息并将采集数据自动传输至当前数据库</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网络化特点鲜明，无论在医院临床科室、还是远程医疗点、外出检查，任何地点都可以获得高品质的心电图信号与诊断，支持WI-FI、3G、4G传输。</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采用平板设计，小巧方便，便于携带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具有Worklist功能，支持HIS提取患者信息，不用人工录入</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具有导联接法示意图功能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具有成人、儿童等差异化分析算法</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▲支持多导联心电图采集，12导、15导、16导联、18导采集同步心电图采集技术（要求医疗器械注册证注册体现）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支持多导心电图采集 + 心电向量 + 频谱心电图采集与分析。</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支持12导采集 + V7、V8、V9 + V3R、V4R、V5R二次采集合并同一份报告打印技术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10、</w:t>
      </w:r>
      <w:r>
        <w:rPr>
          <w:rFonts w:hint="eastAsia" w:ascii="宋体" w:hAnsi="宋体" w:eastAsia="宋体" w:cs="宋体"/>
          <w:sz w:val="24"/>
          <w:szCs w:val="24"/>
        </w:rPr>
        <w:t>支持150分钟连续监测、实时记录心电图数据</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11、</w:t>
      </w:r>
      <w:r>
        <w:rPr>
          <w:rFonts w:hint="eastAsia" w:ascii="宋体" w:hAnsi="宋体" w:eastAsia="宋体" w:cs="宋体"/>
          <w:sz w:val="24"/>
          <w:szCs w:val="24"/>
        </w:rPr>
        <w:t>支持心电图事件记录</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支持心电图危急值提醒，危重紧急患者报警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13、</w:t>
      </w:r>
      <w:r>
        <w:rPr>
          <w:rFonts w:hint="eastAsia" w:ascii="宋体" w:hAnsi="宋体" w:eastAsia="宋体" w:cs="宋体"/>
          <w:sz w:val="24"/>
          <w:szCs w:val="24"/>
        </w:rPr>
        <w:t>测量参数&gt;20种，可以针对心电图数据进行检索统计，如P波宽度，QRS波宽度，T波宽度，PR间期，QT 间期，QTC间期，P波电轴，QRS波电轴，T波电轴，P波形态，P波幅度，T波形态，T波幅度，QRS波形态，QRS波幅度，R波幅度，S波幅度，ST段形态，ST段幅度，RV5，SV1等得出重要的参考数据</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14、</w:t>
      </w:r>
      <w:r>
        <w:rPr>
          <w:rFonts w:hint="eastAsia" w:ascii="宋体" w:hAnsi="宋体" w:eastAsia="宋体" w:cs="宋体"/>
          <w:sz w:val="24"/>
          <w:szCs w:val="24"/>
        </w:rPr>
        <w:t>具有导联纠错功能，如果心电图数据因为肢体导联接反或者胸导联接错位置而导致数据不对，无需重新采集病人数据，诊断医生可以直接软件纠正。</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15、</w:t>
      </w:r>
      <w:r>
        <w:rPr>
          <w:rFonts w:hint="eastAsia" w:ascii="宋体" w:hAnsi="宋体" w:eastAsia="宋体" w:cs="宋体"/>
          <w:sz w:val="24"/>
          <w:szCs w:val="24"/>
        </w:rPr>
        <w:t>患者多次心电图数据同屏幕比较，支持多幅图像对比，单个选中的QRS波群放大对比，12导叠加对比，提供专业的测量参数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16、</w:t>
      </w:r>
      <w:r>
        <w:rPr>
          <w:rFonts w:hint="eastAsia" w:ascii="宋体" w:hAnsi="宋体" w:eastAsia="宋体" w:cs="宋体"/>
          <w:sz w:val="24"/>
          <w:szCs w:val="24"/>
        </w:rPr>
        <w:t>心电图支持20000份病例存储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可以统计，支持病种、诊断、测量参数统计，支持检查医生、操作医生、申请医生等数据统计，支持Excel表格输出打印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心电图机支持美国的FDA-XML、欧洲SCP-ECG等国际标准数据格式存储数据，支持的PDF图像输出</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支持远程获取诊断报告</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多种网络连接选择，包括标准以太网LAN、WiFi、蓝牙、3G等多种技术传输方式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21、</w:t>
      </w:r>
      <w:r>
        <w:rPr>
          <w:rFonts w:hint="eastAsia" w:ascii="宋体" w:hAnsi="宋体" w:eastAsia="宋体" w:cs="宋体"/>
          <w:sz w:val="24"/>
          <w:szCs w:val="24"/>
          <w:lang w:val="en-US" w:eastAsia="zh-CN"/>
        </w:rPr>
        <w:t>特殊性要求：考虑到系统的稳定性及维护管理的便利性，要求所投产品必须通过WIFI上传数据到医院现用的北京麦迪克斯科技有限公司心电电生理信息网络系统，能与本系统无缝对接。</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Times New Roman"/>
          <w:szCs w:val="21"/>
          <w:lang w:val="en-US" w:eastAsia="zh-CN"/>
        </w:rPr>
      </w:pPr>
      <w:r>
        <w:rPr>
          <w:rFonts w:hint="eastAsia" w:ascii="宋体" w:hAnsi="宋体" w:cs="宋体"/>
          <w:sz w:val="24"/>
          <w:szCs w:val="24"/>
          <w:lang w:val="en-US" w:eastAsia="zh-CN"/>
        </w:rPr>
        <w:t>22、</w:t>
      </w:r>
      <w:r>
        <w:rPr>
          <w:rFonts w:hint="eastAsia" w:ascii="宋体" w:hAnsi="宋体" w:eastAsia="宋体" w:cs="宋体"/>
          <w:sz w:val="24"/>
          <w:szCs w:val="24"/>
          <w:lang w:val="en-US" w:eastAsia="zh-CN"/>
        </w:rPr>
        <w:t>▲心电设备需兼容医院现有心电信息管理系统，承担技术接入支持和相关接口费用</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宋体" w:hAnsi="宋体" w:eastAsia="宋体" w:cs="宋体"/>
          <w:sz w:val="24"/>
          <w:szCs w:val="24"/>
          <w:lang w:val="en-US" w:eastAsia="zh-CN"/>
        </w:rPr>
      </w:pPr>
    </w:p>
    <w:p>
      <w:pPr>
        <w:jc w:val="center"/>
        <w:rPr>
          <w:rFonts w:hint="eastAsia"/>
          <w:lang w:val="en-US" w:eastAsia="zh-CN"/>
        </w:rPr>
      </w:pPr>
      <w:r>
        <w:rPr>
          <w:rFonts w:hint="eastAsia" w:ascii="宋体" w:hAnsi="宋体" w:cs="宋体"/>
          <w:b/>
          <w:bCs/>
          <w:i w:val="0"/>
          <w:iCs w:val="0"/>
          <w:color w:val="000000"/>
          <w:kern w:val="0"/>
          <w:sz w:val="32"/>
          <w:szCs w:val="32"/>
          <w:u w:val="none"/>
          <w:lang w:val="en-US" w:eastAsia="zh-CN" w:bidi="ar"/>
        </w:rPr>
        <w:t>五、</w:t>
      </w:r>
      <w:r>
        <w:rPr>
          <w:rFonts w:hint="eastAsia" w:ascii="宋体" w:hAnsi="宋体" w:eastAsia="宋体" w:cs="宋体"/>
          <w:b/>
          <w:bCs/>
          <w:i w:val="0"/>
          <w:iCs w:val="0"/>
          <w:color w:val="000000"/>
          <w:kern w:val="0"/>
          <w:sz w:val="32"/>
          <w:szCs w:val="32"/>
          <w:u w:val="none"/>
          <w:lang w:val="en-US" w:eastAsia="zh-CN" w:bidi="ar"/>
        </w:rPr>
        <w:t>除颤监护仪</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检测方式 ：光反射式，蓝色光波(450nm)、绿色光波(550nm)比较</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显示方法：LCD显示屏</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示值误差;00～15±1mg/dL、16～25±1.5mg/dL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精密度:RSD＜2%</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光源:氙闪光灯</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电源:7号1.2V镍氢充电电池4节</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测量次数:每充足一次电能检测约1000次</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重量:约157g（含电池组）</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9、</w:t>
      </w:r>
      <w:r>
        <w:rPr>
          <w:rFonts w:hint="eastAsia" w:ascii="宋体" w:hAnsi="宋体" w:eastAsia="宋体" w:cs="宋体"/>
          <w:sz w:val="24"/>
          <w:szCs w:val="24"/>
          <w:lang w:val="en-US" w:eastAsia="zh-CN"/>
        </w:rPr>
        <w:t>尺寸(mm):175（长）×68（宽）×26（厚）</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10、</w:t>
      </w:r>
      <w:r>
        <w:rPr>
          <w:rFonts w:hint="eastAsia" w:ascii="宋体" w:hAnsi="宋体" w:eastAsia="宋体" w:cs="宋体"/>
          <w:sz w:val="24"/>
          <w:szCs w:val="24"/>
          <w:lang w:val="en-US" w:eastAsia="zh-CN"/>
        </w:rPr>
        <w:t>校验盘:对白色屏显示00.0mg/dl或00.1mg/dl，对黄色屏显示20.0±0.5mg/dl</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lang w:val="en-US" w:eastAsia="zh-CN"/>
        </w:rPr>
      </w:pPr>
      <w:r>
        <w:rPr>
          <w:rFonts w:hint="eastAsia" w:ascii="宋体" w:hAnsi="宋体" w:cs="宋体"/>
          <w:sz w:val="24"/>
          <w:szCs w:val="24"/>
          <w:lang w:val="en-US" w:eastAsia="zh-CN"/>
        </w:rPr>
        <w:t>11、</w:t>
      </w:r>
      <w:r>
        <w:rPr>
          <w:rFonts w:hint="eastAsia" w:ascii="宋体" w:hAnsi="宋体" w:eastAsia="宋体" w:cs="宋体"/>
          <w:sz w:val="24"/>
          <w:szCs w:val="24"/>
          <w:lang w:val="en-US" w:eastAsia="zh-CN"/>
        </w:rPr>
        <w:t>配置清单</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主机1台</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充电器1个</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校验盘1个</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电池4节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说明书1份</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合格证1份</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保修卡1份</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探头擦拭布1件</w:t>
      </w:r>
    </w:p>
    <w:p>
      <w:pPr>
        <w:jc w:val="center"/>
        <w:rPr>
          <w:rFonts w:hint="eastAsia" w:ascii="宋体" w:hAnsi="宋体" w:cs="宋体"/>
          <w:b/>
          <w:bCs/>
          <w:i w:val="0"/>
          <w:iCs w:val="0"/>
          <w:color w:val="000000"/>
          <w:kern w:val="0"/>
          <w:sz w:val="32"/>
          <w:szCs w:val="32"/>
          <w:u w:val="none"/>
          <w:lang w:val="en-US" w:eastAsia="zh-CN" w:bidi="ar"/>
        </w:rPr>
      </w:pPr>
    </w:p>
    <w:p>
      <w:p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cs="宋体"/>
          <w:b/>
          <w:bCs/>
          <w:i w:val="0"/>
          <w:iCs w:val="0"/>
          <w:color w:val="000000"/>
          <w:kern w:val="0"/>
          <w:sz w:val="32"/>
          <w:szCs w:val="32"/>
          <w:u w:val="none"/>
          <w:lang w:val="en-US" w:eastAsia="zh-CN" w:bidi="ar"/>
        </w:rPr>
        <w:t>六、</w:t>
      </w:r>
      <w:r>
        <w:rPr>
          <w:rFonts w:hint="eastAsia" w:ascii="宋体" w:hAnsi="宋体" w:eastAsia="宋体" w:cs="宋体"/>
          <w:b/>
          <w:bCs/>
          <w:i w:val="0"/>
          <w:iCs w:val="0"/>
          <w:color w:val="000000"/>
          <w:kern w:val="0"/>
          <w:sz w:val="32"/>
          <w:szCs w:val="32"/>
          <w:u w:val="none"/>
          <w:lang w:val="en-US" w:eastAsia="zh-CN" w:bidi="ar"/>
        </w:rPr>
        <w:t>除颤监护仪</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1、★彩色TFT显示屏≥7英寸, 分辨率800×480像素，可显示≥3通道监护参数波形，有高对比度显示界面。</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2、支持中文操作界面。</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3、屏幕显示心电波形扫描时间≥16s。</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4、★具备手动除颤、心电监护、呼吸监护、自动体外除颤（AED）功能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5、除颤采用双相波技术，具备自动阻抗补偿功能。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6、手动除颤分为同步和非同步两种方式，能量分20档以上，可通过体外电极板进行能量选择，最大能量可达360J。</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7、可配置体内除颤手柄，体内手动除颤能力选择：1/2/3/4/5/6/7/8/9/10/15/20/30/50 J</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8、体外除颤电极板同时支持成人和小儿，一体化设计，支持快速切换。</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9、电极板支持能量选择，充电和放电三步操作，满足单人除颤操作。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10、AED除颤功能提供中文语音和中文提醒功能，对于抢救过程支持自动录音功能，记录时长≥60min。</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11、开机时间≤2s，符合临床使用。</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12、除颤充电迅速，充电至200J≤4s。</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13、支持配置体外起搏功能，起搏分为固定和按需两种模式。具备降速起搏功能。</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14、支持配置CPR辅助功能，CPR传感器设计符合2015 AHA/ERC指南，提供即时的按压反馈，设备界面提供按压深度和按压频率实时参数显示。</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15、心电波形速度支持50 mm/s、25 mm/s、12.5 mm/s、6.25 mm/s。</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16、通过心电电极片可监测的心律失常分析种类≥24种。</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17、可选配监护功能：血氧饱和度、无创血压、呼吸末二氧化碳。</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18、★提供的监护参数适用于成人，小儿和新生儿</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19、无创血压收缩压测量范围：25-290mmHg（成人）、25-240mmHg（小儿）、25-140mmHg（新生儿），舒张压测量范围：10-250mmHg（成人）、10-200mmHg（小儿），10-115mmHg（新生儿）。</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20、支持连接中央站，与科室床旁监护仪共用监护网络。</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21、支持提供IHE HL7协议，满足院前院内急救系统的联网通信。</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22、标配1块外置智能锂电池，可支持200J除颤≥300次。</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23、具备生理报警和技术报警功能，通过声音、文字和灯光3种方式进行报警。</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24、配置50mm记录纸记录仪，自动打印除颤记录，单次波形记录时间最大不小于30s；支持连续波形记录。</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25、可存储24小时连续ECG波形，数据可导出至电脑查看。</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26、关机状态下设备支持每天定时自动运行自检，支持定期自动大能量自检。</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27、设备自检后支持对于自检报告进行自动打印或按需打印。</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28、具备良好的防尘防水性能，防尘防水级别IP44。</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29、具备优异的抗跌落性能，满足救护车标准EN1789 中6.3.4.3 关于跌落试验的要求，裸机可承受6面0.75m跌落冲击。</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default" w:ascii="宋体" w:hAnsi="宋体" w:eastAsia="宋体" w:cs="Times New Roman"/>
          <w:szCs w:val="21"/>
          <w:lang w:val="en-US" w:eastAsia="zh-CN"/>
        </w:rPr>
      </w:pPr>
      <w:r>
        <w:rPr>
          <w:rFonts w:hint="eastAsia" w:ascii="宋体" w:hAnsi="宋体" w:cs="宋体"/>
          <w:sz w:val="24"/>
          <w:szCs w:val="24"/>
          <w:lang w:val="en-US" w:eastAsia="zh-CN"/>
        </w:rPr>
        <w:t>30工作环境，温度范围：0°C-45°C，湿度范围：15%-95%，大气压范围：57.0 kPa ～ 106.2 kPa。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1B9F47"/>
    <w:multiLevelType w:val="singleLevel"/>
    <w:tmpl w:val="7A1B9F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N2U1M2VjMWQ0MzNmNTRjNDU0OGU4MTg2N2Q2ZjMifQ=="/>
  </w:docVars>
  <w:rsids>
    <w:rsidRoot w:val="1ACA360D"/>
    <w:rsid w:val="01431A4A"/>
    <w:rsid w:val="02C92423"/>
    <w:rsid w:val="03265180"/>
    <w:rsid w:val="036D7252"/>
    <w:rsid w:val="03742054"/>
    <w:rsid w:val="04583A5F"/>
    <w:rsid w:val="0494259D"/>
    <w:rsid w:val="04BD7D66"/>
    <w:rsid w:val="05340028"/>
    <w:rsid w:val="053E0EA6"/>
    <w:rsid w:val="05AF01F7"/>
    <w:rsid w:val="05BA6F95"/>
    <w:rsid w:val="05C23886"/>
    <w:rsid w:val="061E5687"/>
    <w:rsid w:val="08055CAB"/>
    <w:rsid w:val="08EE111E"/>
    <w:rsid w:val="091D2944"/>
    <w:rsid w:val="094B74DC"/>
    <w:rsid w:val="0AF81AF7"/>
    <w:rsid w:val="0BC53CE2"/>
    <w:rsid w:val="0D166265"/>
    <w:rsid w:val="0D3C0F87"/>
    <w:rsid w:val="0D5D3E94"/>
    <w:rsid w:val="0DA77DBF"/>
    <w:rsid w:val="0E0013EF"/>
    <w:rsid w:val="0E6A4ABA"/>
    <w:rsid w:val="0EE54565"/>
    <w:rsid w:val="0F7756E1"/>
    <w:rsid w:val="0FED14FF"/>
    <w:rsid w:val="103E61FE"/>
    <w:rsid w:val="126F08F1"/>
    <w:rsid w:val="13315BA7"/>
    <w:rsid w:val="13685340"/>
    <w:rsid w:val="139B5716"/>
    <w:rsid w:val="152754B3"/>
    <w:rsid w:val="161F43DC"/>
    <w:rsid w:val="164F4B0E"/>
    <w:rsid w:val="17CC7129"/>
    <w:rsid w:val="180A4C18"/>
    <w:rsid w:val="18C33745"/>
    <w:rsid w:val="19120228"/>
    <w:rsid w:val="1A7D3DC7"/>
    <w:rsid w:val="1ACA360D"/>
    <w:rsid w:val="1ADC0AEE"/>
    <w:rsid w:val="1B1A7868"/>
    <w:rsid w:val="1BD96714"/>
    <w:rsid w:val="1C7C42DE"/>
    <w:rsid w:val="1C890801"/>
    <w:rsid w:val="1CF77E61"/>
    <w:rsid w:val="1D2624F4"/>
    <w:rsid w:val="1F004D2E"/>
    <w:rsid w:val="1F86727A"/>
    <w:rsid w:val="207E61A3"/>
    <w:rsid w:val="22291E9C"/>
    <w:rsid w:val="22910410"/>
    <w:rsid w:val="22B20386"/>
    <w:rsid w:val="22C5630B"/>
    <w:rsid w:val="23AB5501"/>
    <w:rsid w:val="244B45EE"/>
    <w:rsid w:val="24C50845"/>
    <w:rsid w:val="24C525F3"/>
    <w:rsid w:val="251946ED"/>
    <w:rsid w:val="253F4091"/>
    <w:rsid w:val="25BA5ED0"/>
    <w:rsid w:val="270A4D3B"/>
    <w:rsid w:val="275B0A3D"/>
    <w:rsid w:val="27D25752"/>
    <w:rsid w:val="28BA1D43"/>
    <w:rsid w:val="29244625"/>
    <w:rsid w:val="2B1C6CE5"/>
    <w:rsid w:val="2BDF043E"/>
    <w:rsid w:val="2ED50E10"/>
    <w:rsid w:val="2F3D5312"/>
    <w:rsid w:val="2F683E67"/>
    <w:rsid w:val="31CF5C1D"/>
    <w:rsid w:val="31E4154A"/>
    <w:rsid w:val="31F041C4"/>
    <w:rsid w:val="32543208"/>
    <w:rsid w:val="332E1CAB"/>
    <w:rsid w:val="33F22CD8"/>
    <w:rsid w:val="34A749EE"/>
    <w:rsid w:val="370D205E"/>
    <w:rsid w:val="383E473E"/>
    <w:rsid w:val="39405911"/>
    <w:rsid w:val="397D1296"/>
    <w:rsid w:val="39D52E80"/>
    <w:rsid w:val="3A856654"/>
    <w:rsid w:val="3B5D4EDB"/>
    <w:rsid w:val="3B702E61"/>
    <w:rsid w:val="3B914B85"/>
    <w:rsid w:val="3BE86E9B"/>
    <w:rsid w:val="3CCD6091"/>
    <w:rsid w:val="3D0D2931"/>
    <w:rsid w:val="3DF56C47"/>
    <w:rsid w:val="3E104487"/>
    <w:rsid w:val="3EA64DEB"/>
    <w:rsid w:val="3EE85404"/>
    <w:rsid w:val="3EF1250A"/>
    <w:rsid w:val="3F566811"/>
    <w:rsid w:val="3F8213B4"/>
    <w:rsid w:val="40552625"/>
    <w:rsid w:val="405D597D"/>
    <w:rsid w:val="4246496D"/>
    <w:rsid w:val="42576B28"/>
    <w:rsid w:val="42902152"/>
    <w:rsid w:val="43413334"/>
    <w:rsid w:val="44A1408B"/>
    <w:rsid w:val="44DF49AB"/>
    <w:rsid w:val="452B604A"/>
    <w:rsid w:val="457B1241"/>
    <w:rsid w:val="461070BE"/>
    <w:rsid w:val="474D04FA"/>
    <w:rsid w:val="47B02837"/>
    <w:rsid w:val="48CB5B7A"/>
    <w:rsid w:val="497418F4"/>
    <w:rsid w:val="49865F45"/>
    <w:rsid w:val="49A62143"/>
    <w:rsid w:val="4A203CA4"/>
    <w:rsid w:val="4ABA5EA6"/>
    <w:rsid w:val="4B9B38DE"/>
    <w:rsid w:val="4CF11927"/>
    <w:rsid w:val="4DCD4142"/>
    <w:rsid w:val="4E712D20"/>
    <w:rsid w:val="4EC02290"/>
    <w:rsid w:val="4FCB5FB2"/>
    <w:rsid w:val="500B0F52"/>
    <w:rsid w:val="50C03AEB"/>
    <w:rsid w:val="516E1798"/>
    <w:rsid w:val="51A67184"/>
    <w:rsid w:val="522D51B0"/>
    <w:rsid w:val="528F202D"/>
    <w:rsid w:val="52A25112"/>
    <w:rsid w:val="536F7A4A"/>
    <w:rsid w:val="53D004E8"/>
    <w:rsid w:val="55945546"/>
    <w:rsid w:val="55A75252"/>
    <w:rsid w:val="568F16B6"/>
    <w:rsid w:val="56B91708"/>
    <w:rsid w:val="56C8194B"/>
    <w:rsid w:val="57911D3D"/>
    <w:rsid w:val="57FB18AC"/>
    <w:rsid w:val="5A4B6B1B"/>
    <w:rsid w:val="5B242EC8"/>
    <w:rsid w:val="5CF54B1C"/>
    <w:rsid w:val="5D3F223B"/>
    <w:rsid w:val="5D4E06D0"/>
    <w:rsid w:val="5DF474C9"/>
    <w:rsid w:val="5E781EA8"/>
    <w:rsid w:val="5F155949"/>
    <w:rsid w:val="5FF4555F"/>
    <w:rsid w:val="5FFB4B3F"/>
    <w:rsid w:val="60B60A66"/>
    <w:rsid w:val="61ED04B8"/>
    <w:rsid w:val="626764BC"/>
    <w:rsid w:val="630A2F55"/>
    <w:rsid w:val="64D67BCE"/>
    <w:rsid w:val="64F8164D"/>
    <w:rsid w:val="65551782"/>
    <w:rsid w:val="658729D1"/>
    <w:rsid w:val="66466D22"/>
    <w:rsid w:val="67044388"/>
    <w:rsid w:val="675E0EE9"/>
    <w:rsid w:val="692D1AE1"/>
    <w:rsid w:val="69A26810"/>
    <w:rsid w:val="6AE54422"/>
    <w:rsid w:val="6B5C220A"/>
    <w:rsid w:val="6BB65DBE"/>
    <w:rsid w:val="6C0B435C"/>
    <w:rsid w:val="6C692E30"/>
    <w:rsid w:val="6E466EDB"/>
    <w:rsid w:val="6EB32A89"/>
    <w:rsid w:val="6EC627BC"/>
    <w:rsid w:val="6EC66318"/>
    <w:rsid w:val="6FEA24DA"/>
    <w:rsid w:val="71E33685"/>
    <w:rsid w:val="738844E4"/>
    <w:rsid w:val="73A3131E"/>
    <w:rsid w:val="73FC458A"/>
    <w:rsid w:val="740C62FA"/>
    <w:rsid w:val="74566390"/>
    <w:rsid w:val="74D5034D"/>
    <w:rsid w:val="75E1612D"/>
    <w:rsid w:val="7AD1051F"/>
    <w:rsid w:val="7BAC2D3A"/>
    <w:rsid w:val="7C5238E1"/>
    <w:rsid w:val="7D6C09D3"/>
    <w:rsid w:val="7DA261A2"/>
    <w:rsid w:val="7E09286B"/>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5">
    <w:name w:val="Body Text"/>
    <w:basedOn w:val="1"/>
    <w:next w:val="6"/>
    <w:qFormat/>
    <w:uiPriority w:val="0"/>
    <w:pPr>
      <w:widowControl/>
      <w:jc w:val="left"/>
    </w:pPr>
    <w:rPr>
      <w:rFonts w:ascii="Times New Roman" w:hAnsi="Times New Roman" w:eastAsia="宋体" w:cs="Times New Roman"/>
      <w:kern w:val="0"/>
    </w:rPr>
  </w:style>
  <w:style w:type="paragraph" w:styleId="6">
    <w:name w:val="toc 2"/>
    <w:basedOn w:val="1"/>
    <w:next w:val="1"/>
    <w:qFormat/>
    <w:uiPriority w:val="0"/>
    <w:pPr>
      <w:widowControl/>
      <w:spacing w:after="100" w:line="276" w:lineRule="auto"/>
      <w:ind w:left="220"/>
      <w:jc w:val="left"/>
    </w:pPr>
    <w:rPr>
      <w:rFonts w:ascii="Times New Roman" w:hAnsi="Times New Roman" w:eastAsia="宋体" w:cs="Times New Roman"/>
      <w:kern w:val="0"/>
      <w:sz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51"/>
    <w:basedOn w:val="9"/>
    <w:qFormat/>
    <w:uiPriority w:val="0"/>
    <w:rPr>
      <w:rFonts w:hint="default" w:ascii="Times New Roman" w:hAnsi="Times New Roman" w:cs="Times New Roman"/>
      <w:color w:val="000000"/>
      <w:sz w:val="20"/>
      <w:szCs w:val="20"/>
      <w:u w:val="none"/>
    </w:rPr>
  </w:style>
  <w:style w:type="paragraph" w:customStyle="1" w:styleId="11">
    <w:name w:val="p0"/>
    <w:basedOn w:val="1"/>
    <w:qFormat/>
    <w:uiPriority w:val="0"/>
    <w:rPr>
      <w:rFonts w:ascii="Times New Roman" w:hAnsi="Times New Roman" w:eastAsia="宋体" w:cs="Times New Roman"/>
      <w:szCs w:val="21"/>
    </w:rPr>
  </w:style>
  <w:style w:type="paragraph" w:customStyle="1" w:styleId="12">
    <w:name w:val="p16"/>
    <w:basedOn w:val="1"/>
    <w:qFormat/>
    <w:uiPriority w:val="0"/>
    <w:rPr>
      <w:rFonts w:ascii="Times New Roman" w:hAnsi="Times New Roman" w:eastAsia="宋体" w:cs="Times New Roman"/>
      <w:szCs w:val="21"/>
    </w:r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Table Paragraph"/>
    <w:basedOn w:val="1"/>
    <w:qFormat/>
    <w:uiPriority w:val="1"/>
    <w:pPr>
      <w:autoSpaceDE w:val="0"/>
      <w:autoSpaceDN w:val="0"/>
      <w:spacing w:line="284" w:lineRule="exact"/>
      <w:ind w:left="107"/>
      <w:jc w:val="left"/>
    </w:pPr>
    <w:rPr>
      <w:rFonts w:ascii="宋体" w:hAnsi="宋体" w:eastAsia="宋体" w:cs="宋体"/>
      <w:kern w:val="0"/>
      <w:sz w:val="22"/>
    </w:rPr>
  </w:style>
  <w:style w:type="table" w:customStyle="1" w:styleId="15">
    <w:name w:val="Table Normal"/>
    <w:semiHidden/>
    <w:unhideWhenUsed/>
    <w:qFormat/>
    <w:uiPriority w:val="2"/>
    <w:pPr>
      <w:widowControl w:val="0"/>
      <w:autoSpaceDE w:val="0"/>
      <w:autoSpaceDN w:val="0"/>
    </w:pPr>
    <w:rPr>
      <w:rFonts w:eastAsiaTheme="minorEastAsia"/>
      <w:sz w:val="22"/>
      <w:szCs w:val="22"/>
      <w:lang w:eastAsia="en-US"/>
    </w:rPr>
    <w:tblPr>
      <w:tblCellMar>
        <w:top w:w="0" w:type="dxa"/>
        <w:left w:w="0" w:type="dxa"/>
        <w:bottom w:w="0" w:type="dxa"/>
        <w:right w:w="0" w:type="dxa"/>
      </w:tblCellMar>
    </w:tblPr>
  </w:style>
  <w:style w:type="paragraph" w:customStyle="1" w:styleId="16">
    <w:name w:val="段"/>
    <w:basedOn w:val="1"/>
    <w:qFormat/>
    <w:uiPriority w:val="0"/>
    <w:pPr>
      <w:tabs>
        <w:tab w:val="center" w:pos="4201"/>
        <w:tab w:val="right" w:leader="dot" w:pos="9298"/>
      </w:tabs>
      <w:autoSpaceDE w:val="0"/>
      <w:autoSpaceDN w:val="0"/>
      <w:spacing w:beforeLines="0" w:afterLines="0"/>
      <w:ind w:firstLine="420" w:firstLineChars="200"/>
    </w:pPr>
    <w:rPr>
      <w:rFonts w:hint="eastAsia" w:ascii="宋体" w:hAnsi="Times New Roman" w:eastAsia="宋体" w:cs="Times New Roman"/>
      <w:kern w:val="0"/>
      <w:sz w:val="21"/>
    </w:rPr>
  </w:style>
  <w:style w:type="character" w:customStyle="1" w:styleId="17">
    <w:name w:val="font01"/>
    <w:basedOn w:val="9"/>
    <w:qFormat/>
    <w:uiPriority w:val="0"/>
    <w:rPr>
      <w:rFonts w:hint="eastAsia" w:ascii="宋体" w:hAnsi="宋体" w:eastAsia="宋体" w:cs="宋体"/>
      <w:color w:val="000000"/>
      <w:sz w:val="22"/>
      <w:szCs w:val="22"/>
      <w:u w:val="none"/>
    </w:rPr>
  </w:style>
  <w:style w:type="character" w:customStyle="1" w:styleId="18">
    <w:name w:val="font61"/>
    <w:basedOn w:val="9"/>
    <w:qFormat/>
    <w:uiPriority w:val="0"/>
    <w:rPr>
      <w:rFonts w:hint="eastAsia" w:ascii="宋体" w:hAnsi="宋体" w:eastAsia="宋体" w:cs="宋体"/>
      <w:color w:val="000000"/>
      <w:sz w:val="20"/>
      <w:szCs w:val="20"/>
      <w:u w:val="none"/>
    </w:rPr>
  </w:style>
  <w:style w:type="paragraph" w:customStyle="1" w:styleId="19">
    <w:name w:val="列表段落1"/>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4844</Words>
  <Characters>5870</Characters>
  <Lines>0</Lines>
  <Paragraphs>0</Paragraphs>
  <TotalTime>38</TotalTime>
  <ScaleCrop>false</ScaleCrop>
  <LinksUpToDate>false</LinksUpToDate>
  <CharactersWithSpaces>5984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2022-08-30T03:12:00Z</dcterms:created>
  <dc:creator>Lenovo</dc:creator>
  <cp:lastModifiedBy>Lenovo</cp:lastModifiedBy>
  <dcterms:modified xsi:type="dcterms:W3CDTF">2022-11-10T03:14:48Z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F494A0F38D754290A7272E289738372E</vt:lpwstr>
  </property>
</Properties>
</file>