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jc w:val="left"/>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设备采购清单</w:t>
      </w:r>
    </w:p>
    <w:p/>
    <w:tbl>
      <w:tblPr>
        <w:tblStyle w:val="7"/>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576"/>
        <w:gridCol w:w="765"/>
        <w:gridCol w:w="499"/>
        <w:gridCol w:w="784"/>
        <w:gridCol w:w="1485"/>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76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499"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单通道注射泵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双通道注射泵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bookmarkStart w:id="0" w:name="_GoBack"/>
            <w:bookmarkEnd w:id="0"/>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病人监护仪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多导联心电分析系统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经皮黄疸仪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除颤监护仪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default"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bl>
    <w:p>
      <w:pPr>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Theme="minorEastAsia" w:hAnsiTheme="minorEastAsia"/>
          <w:b/>
          <w:bCs/>
          <w:kern w:val="0"/>
          <w:sz w:val="28"/>
          <w:szCs w:val="28"/>
          <w:lang w:val="en-US" w:eastAsia="zh-CN"/>
        </w:rPr>
        <w:t>二、设备</w:t>
      </w:r>
      <w:r>
        <w:rPr>
          <w:rFonts w:hint="eastAsia" w:asciiTheme="minorEastAsia" w:hAnsiTheme="minorEastAsia"/>
          <w:b/>
          <w:bCs/>
          <w:kern w:val="0"/>
          <w:sz w:val="28"/>
          <w:szCs w:val="28"/>
        </w:rPr>
        <w:t>参数要求</w:t>
      </w: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一、单通道</w:t>
      </w:r>
      <w:r>
        <w:rPr>
          <w:rFonts w:hint="eastAsia" w:ascii="宋体" w:hAnsi="宋体" w:eastAsia="宋体" w:cs="宋体"/>
          <w:b/>
          <w:bCs/>
          <w:i w:val="0"/>
          <w:iCs w:val="0"/>
          <w:color w:val="000000"/>
          <w:kern w:val="0"/>
          <w:sz w:val="32"/>
          <w:szCs w:val="32"/>
          <w:u w:val="none"/>
          <w:lang w:val="en-US" w:eastAsia="zh-CN" w:bidi="ar"/>
        </w:rPr>
        <w:t>注射泵</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注射精度≤±2% 或0.005mL/h取大者</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速率范围：0.1-1200ml/h, 最小步进0.1ml/h</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预置输液总量范围：0.1-9999ml</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快进流速范围：0.1-1200ml/h</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支持注射器规格：5ml、10ml、20ml、30ml、50/60ml；</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LCD显示屏，可同屏显示：输注模式、速度、当前注射状态、预置量、累计量、电池状态、报警压力阈值和在线压力等信息；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锁屏功能：支持自动锁屏，自动锁屏时间可调</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在线滴定功能：安全不中断输液而更改速率；</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分低级、中级、高级三级报警。可实现声光报警提示，同时显示具体报警信息；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在线动态压力监测，可实时显示当前压力数值；</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★电池工作时间≥6小时@5ml/h，可升级至≥12小时@5ml/h</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接口支持RS232数据传输、护士呼叫、DC输入功能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防进液等级IPX4</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可升级无线模块，实现无线联网监测；</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注射泵推杆无皮套设计，更易清洁，符合院感要求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16、</w:t>
      </w:r>
      <w:r>
        <w:rPr>
          <w:rFonts w:hint="eastAsia" w:ascii="宋体" w:hAnsi="宋体" w:eastAsia="宋体" w:cs="宋体"/>
          <w:sz w:val="24"/>
          <w:szCs w:val="24"/>
        </w:rPr>
        <w:t>整机重量不超过1.8kg，主机自带提手，方便携带</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rPr>
      </w:pPr>
      <w:r>
        <w:rPr>
          <w:rFonts w:hint="eastAsia" w:ascii="宋体" w:hAnsi="宋体" w:cs="宋体"/>
          <w:sz w:val="24"/>
          <w:szCs w:val="24"/>
          <w:lang w:val="en-US" w:eastAsia="zh-CN"/>
        </w:rPr>
        <w:t>17、</w:t>
      </w:r>
      <w:r>
        <w:rPr>
          <w:rFonts w:hint="eastAsia" w:ascii="宋体" w:hAnsi="宋体" w:eastAsia="宋体" w:cs="宋体"/>
          <w:sz w:val="24"/>
          <w:szCs w:val="24"/>
        </w:rPr>
        <w:t>满足EN1789标准，适合在救护车使用。</w:t>
      </w: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p>
    <w:p>
      <w:pPr>
        <w:numPr>
          <w:ilvl w:val="0"/>
          <w:numId w:val="0"/>
        </w:numPr>
        <w:ind w:leftChars="0"/>
        <w:jc w:val="center"/>
        <w:rPr>
          <w:rFonts w:ascii="宋体" w:hAnsi="宋体"/>
          <w:b/>
          <w:color w:val="auto"/>
          <w:sz w:val="24"/>
          <w:szCs w:val="24"/>
        </w:rPr>
      </w:pPr>
      <w:r>
        <w:rPr>
          <w:rFonts w:hint="eastAsia" w:ascii="宋体" w:hAnsi="宋体" w:cs="宋体"/>
          <w:b/>
          <w:bCs/>
          <w:i w:val="0"/>
          <w:iCs w:val="0"/>
          <w:color w:val="000000"/>
          <w:kern w:val="0"/>
          <w:sz w:val="32"/>
          <w:szCs w:val="32"/>
          <w:u w:val="none"/>
          <w:lang w:val="en-US" w:eastAsia="zh-CN" w:bidi="ar"/>
        </w:rPr>
        <w:t>二、</w:t>
      </w:r>
      <w:r>
        <w:rPr>
          <w:rFonts w:hint="eastAsia" w:ascii="宋体" w:hAnsi="宋体" w:eastAsia="宋体" w:cs="宋体"/>
          <w:b/>
          <w:bCs/>
          <w:i w:val="0"/>
          <w:iCs w:val="0"/>
          <w:color w:val="000000"/>
          <w:kern w:val="0"/>
          <w:sz w:val="32"/>
          <w:szCs w:val="32"/>
          <w:u w:val="none"/>
          <w:lang w:val="en-US" w:eastAsia="zh-CN" w:bidi="ar"/>
        </w:rPr>
        <w:t>双通道注射泵</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注射精度≤±2% 或0.005mL/h取大者</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速率范围：0.1-2000ml/h, 最小步进0.01ml/h</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预置输液总量范围：0.1-9999ml</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快进流速范围：1-2000ml/h，具有自动和手动快进可选；</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KVO：0.1-5ml/h</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可自动统计四种累计量：24h累计量、最近累计量、自定义时间段累计量、定时间隔累计量</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支持注射器规格：5ml、10ml、20ml、30ml、50/60ml；</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无需额外工具或设备，可直接在注射泵上添加注射器品牌名称</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具有以下注射模式：速度模式、时间模式、体重模式、梯度模式、序列模式、微量模式和间断给药模式</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具有联机功能，可自动启动第二通道注射，保证临床连续给药功能，维持血药浓度稳定。</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LCD显示屏，可同屏显示：输注模式、速度、当前注射状态、预置量、累计量、电池状态、报警压力阈值和在线压力等信息；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全中文软件操作界面</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锁屏功能：支持自动锁屏，自动锁屏时间可调</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在线滴定功能：安全不中断输液而更改速率；</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具备报警功能。可实现声光，动画和文字同时报警提示，同时显示具体报警信息；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16、</w:t>
      </w:r>
      <w:r>
        <w:rPr>
          <w:rFonts w:hint="eastAsia" w:ascii="宋体" w:hAnsi="宋体" w:eastAsia="宋体" w:cs="宋体"/>
          <w:sz w:val="24"/>
          <w:szCs w:val="24"/>
        </w:rPr>
        <w:t>在线动态压力监测，可实时显示当前压力数值；</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17、</w:t>
      </w:r>
      <w:r>
        <w:rPr>
          <w:rFonts w:hint="eastAsia" w:ascii="宋体" w:hAnsi="宋体" w:eastAsia="宋体" w:cs="宋体"/>
          <w:sz w:val="24"/>
          <w:szCs w:val="24"/>
        </w:rPr>
        <w:t>压力报警阈值至少12档可调，最低75mmHg</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eastAsia="宋体" w:cs="宋体"/>
          <w:sz w:val="24"/>
          <w:szCs w:val="24"/>
        </w:rPr>
        <w:t>信息储存：可存储至少2000条的历史记录</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单通道注射时，电池工作时间≥5小时@5ml/h，可升级至≥10小时@5ml/h</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接口支持RS232数据传输、护士呼叫、DC输入功能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21、</w:t>
      </w:r>
      <w:r>
        <w:rPr>
          <w:rFonts w:hint="eastAsia" w:ascii="宋体" w:hAnsi="宋体" w:eastAsia="宋体" w:cs="宋体"/>
          <w:sz w:val="24"/>
          <w:szCs w:val="24"/>
        </w:rPr>
        <w:t>防异物及进液等级IP34</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可升级无线模块，实现无线联网监测；</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23、</w:t>
      </w:r>
      <w:r>
        <w:rPr>
          <w:rFonts w:hint="eastAsia" w:ascii="宋体" w:hAnsi="宋体" w:eastAsia="宋体" w:cs="宋体"/>
          <w:sz w:val="24"/>
          <w:szCs w:val="24"/>
        </w:rPr>
        <w:t>整机重量不超过3.6kg，主机自带提手，方便携带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olor w:val="auto"/>
          <w:sz w:val="24"/>
          <w:szCs w:val="24"/>
        </w:rPr>
      </w:pPr>
    </w:p>
    <w:p>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w:t>
      </w:r>
      <w:r>
        <w:rPr>
          <w:rFonts w:hint="eastAsia" w:ascii="宋体" w:hAnsi="宋体" w:eastAsia="宋体" w:cs="宋体"/>
          <w:b/>
          <w:bCs/>
          <w:i w:val="0"/>
          <w:iCs w:val="0"/>
          <w:color w:val="000000"/>
          <w:kern w:val="0"/>
          <w:sz w:val="32"/>
          <w:szCs w:val="32"/>
          <w:u w:val="none"/>
          <w:lang w:val="en-US" w:eastAsia="zh-CN" w:bidi="ar"/>
        </w:rPr>
        <w:t>病人监护仪</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1：整机要求：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1.1、一体化便携监护仪，整机无风扇设计。</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1.2、配置提手,方便移动。 </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★1.3、≥10.1英寸彩色液晶触摸屏，分辨率高达1280*800像素或更高，≥8通道波形显示。</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1.4、屏幕采用最新电容屏非电阻屏。</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1.5、显示屏采用宽视角技术，支持170度可视范围</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1.6、内置锂电池，插槽式设计，无需螺丝刀工具支持快速拆卸和安装。</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★1.7、安全规格：ECG, TEMP, IBP, SpO2 , NIBP监测参数抗电击程度为防除颤CF型</w:t>
      </w:r>
      <w:r>
        <w:rPr>
          <w:rFonts w:hint="eastAsia" w:ascii="宋体" w:hAnsi="宋体" w:eastAsia="宋体" w:cs="宋体"/>
          <w:sz w:val="24"/>
          <w:szCs w:val="24"/>
        </w:rPr>
        <w:drawing>
          <wp:inline distT="0" distB="0" distL="114300" distR="114300">
            <wp:extent cx="257175" cy="152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7175" cy="152400"/>
                    </a:xfrm>
                    <a:prstGeom prst="rect">
                      <a:avLst/>
                    </a:prstGeom>
                    <a:noFill/>
                    <a:ln>
                      <a:noFill/>
                    </a:ln>
                  </pic:spPr>
                </pic:pic>
              </a:graphicData>
            </a:graphic>
          </wp:inline>
        </w:drawing>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1.8、监护仪设计使用年限≥8年。</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1.9、监护仪清洁消毒维护支持的消毒剂≥40种</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1.10、监护仪主机工作大气压环境范围：57.0~107.4kPa。</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1.11、监护仪主机工作温度环境范围：0~40°C。</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1.12、监护仪主机工作湿度环境范围；15~95%。</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2：监测参数：</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2.1、配置3/5导心电，呼吸，无创血压，血氧饱和度，脉搏和双通道体温参数监测。</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★2.2、心电监护支持心率，ST段测量，心律失常分析，QT/QTc连续实时测量和对应报警功能。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2.3、心电算法通过AHA/MIT-BIH数据库验证。</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2.4、心电波形扫描速度支持6.25mm/s、12.5 mm/s、25 mm/s和50 mm/s。</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2.5、提供窗口支持心脏下壁，侧壁和前壁对应多个ST片段的同屏实时显示。</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2.6、支持≥20种心律失常分析,包括房颤分析。</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2.7、QT和QTc实时监测参数测量范围：200～800 ms。</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2.8、支持升级提供过去24小时心电概览报告查看与打印，包括心率统计结果，心律失常统计结果，ST统计和QT/QTc统计结果。</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2.9、提供SpO2,PR和PI参数的实时监测，适用于成人，小儿和新生儿。</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2.10、支持指套式血氧探头，IPX7防水等级，支持液体浸泡消毒和清洁。</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2.11、配置无创血压测量，适用于成人，小儿和新生儿。</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★2.12、提供手动，自动，连续和序列4种测量模式，并提供24小时血压统计结果，满足临床应用。</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2.13、无创血压成人测量范围：收缩压25~290mmHg，舒张压10~250mmHg，平均压15~260mmHg。</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2.14、提供辅助静脉穿刺功能。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2.15、提供双通道体温和温差参数的监测, 并可根据需要更改体温通道标名。</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3：系统功能：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3.1、★支持所有监测参数报警限一键自动设置功能，满足医护团队快速管理患者报警需求，产品用户手册提供报警限自动设置规则。</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3.2、支持肾功能计算功能。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3.3、具有图形化技术报警指示功能，帮助医护团队快速识别报警来源。</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3.4、支持≥120小时趋势图和趋势表回顾，支持选择不同趋势组回顾。</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3.5、≥1000条事件回顾。每条报警事件至少能够存储32秒三道相关波形，以及报警触发时所有测量参数值。</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3.6、≥1000组NIBP测量结果。</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3.7、≥120小时（分辨率1分钟）ST模板存储与回顾。</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3.8、支持48小时全息波形的存储与回顾功能。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3.9、支持监护仪历史病人数据的存储和回顾，并支持通过USB接口将历史病人数据导出到U盘。</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3.10、支持RJ45接口进行有线网络通信，和除颤监护仪一起联网通信到中心监护系统。</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3.11、支持监护仪进入夜间模式，隐私模式，演示模式和待机模式。</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★3.12、提供计时器功能，界面区提供设置≥4个计时器，每个计时器支持独立设置和计时功能，计时方向包括正计时和倒计时两种选择。</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3.13、支持格拉斯哥昏迷评分（GCS）功能。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3.14、支持升级MEWS（改良早期预警评分）、NEWS（英国早期预警评分）和NEWS2（英国早期预警评分2）的动态评分。</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★3.15、动态趋势界面可支持统计1-24小时心律失常报警、参数超限报警信息，并对超限报警区间的波形进行高亮显示，帮助医护人员快速识别异常趋势信息。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3.16、提供屏幕截图功能，将屏幕截图通过USB接口导出到U盘。</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3.17、支持它床观察，可同时监视≥12它床的报警信息。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3.18、支持与护士站中心监护系统联网，实现患者的集中监护和报警管理。</w:t>
      </w:r>
    </w:p>
    <w:p>
      <w:pPr>
        <w:rPr>
          <w:rFonts w:hint="eastAsia"/>
          <w:lang w:val="en-US" w:eastAsia="zh-CN"/>
        </w:rPr>
      </w:pPr>
    </w:p>
    <w:p>
      <w:pPr>
        <w:rPr>
          <w:rFonts w:hint="default"/>
          <w:lang w:val="en-US" w:eastAsia="zh-CN"/>
        </w:rPr>
      </w:pPr>
    </w:p>
    <w:p>
      <w:pPr>
        <w:pStyle w:val="4"/>
        <w:jc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四、多导联分析系统</w:t>
      </w:r>
    </w:p>
    <w:tbl>
      <w:tblPr>
        <w:tblStyle w:val="7"/>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63"/>
        <w:gridCol w:w="1134"/>
        <w:gridCol w:w="668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shd w:val="pct5" w:color="auto" w:fill="auto"/>
            <w:noWrap w:val="0"/>
            <w:vAlign w:val="center"/>
          </w:tcPr>
          <w:p>
            <w:pPr>
              <w:ind w:left="-75" w:right="-716" w:rightChars="-341"/>
              <w:rPr>
                <w:rFonts w:ascii="宋体" w:hAnsi="宋体"/>
                <w:sz w:val="18"/>
                <w:szCs w:val="18"/>
              </w:rPr>
            </w:pPr>
            <w:r>
              <w:rPr>
                <w:rFonts w:hint="eastAsia" w:ascii="宋体" w:hAnsi="宋体"/>
                <w:sz w:val="18"/>
                <w:szCs w:val="18"/>
              </w:rPr>
              <w:t>序号</w:t>
            </w:r>
          </w:p>
        </w:tc>
        <w:tc>
          <w:tcPr>
            <w:tcW w:w="7817" w:type="dxa"/>
            <w:gridSpan w:val="2"/>
            <w:tcBorders>
              <w:top w:val="single" w:color="808080" w:sz="4" w:space="0"/>
              <w:left w:val="single" w:color="808080" w:sz="4" w:space="0"/>
              <w:bottom w:val="single" w:color="808080" w:sz="4" w:space="0"/>
              <w:right w:val="single" w:color="808080" w:sz="4" w:space="0"/>
            </w:tcBorders>
            <w:shd w:val="pct5" w:color="auto" w:fill="auto"/>
            <w:noWrap w:val="0"/>
            <w:vAlign w:val="center"/>
          </w:tcPr>
          <w:p>
            <w:pPr>
              <w:ind w:left="-75" w:right="-716" w:rightChars="-341"/>
              <w:rPr>
                <w:rFonts w:ascii="宋体" w:hAnsi="宋体"/>
                <w:sz w:val="18"/>
                <w:szCs w:val="18"/>
              </w:rPr>
            </w:pPr>
            <w:r>
              <w:rPr>
                <w:rFonts w:hint="eastAsia" w:ascii="宋体" w:hAnsi="宋体"/>
                <w:sz w:val="18"/>
                <w:szCs w:val="18"/>
              </w:rPr>
              <w:t>技术参数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导联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支持12/15/16/18同步</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2</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输入阻抗</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不低于5MΩ。</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3</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输入回路电流</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不大于0.1μA。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4</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噪声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不超过15μVp-p。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5</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共模抑制比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不低于89dB。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6</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标准灵敏度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sz w:val="18"/>
              </w:rPr>
              <w:t>10mm/mV</w:t>
            </w:r>
            <w:r>
              <w:rPr>
                <w:sz w:val="18"/>
                <w:u w:val="single"/>
              </w:rPr>
              <w:t>+</w:t>
            </w:r>
            <w:r>
              <w:rPr>
                <w:sz w:val="18"/>
              </w:rPr>
              <w:t>5%</w:t>
            </w:r>
            <w:r>
              <w:rPr>
                <w:rFonts w:hint="eastAsia"/>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7</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灵敏度转换误差</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由10mm/mV转换为5 mm/mV、20mm/mV时，转换误差不大于</w:t>
            </w:r>
            <w:r>
              <w:rPr>
                <w:sz w:val="18"/>
                <w:u w:val="single"/>
              </w:rPr>
              <w:t>+</w:t>
            </w:r>
            <w:r>
              <w:rPr>
                <w:sz w:val="18"/>
              </w:rPr>
              <w:t>5%</w:t>
            </w:r>
            <w:r>
              <w:rPr>
                <w:rFonts w:hint="eastAsia"/>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8</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定标电压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1mV±5%。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9</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耐极化电压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在±300mV直流极化电压下，灵敏度变化不超过5%。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10</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幅频特性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1～60Hz。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11</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 xml:space="preserve">时间常数        </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不小于3.2s。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12</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工频干扰抑制器</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ascii="宋体" w:hAnsi="宋体"/>
                <w:sz w:val="18"/>
                <w:szCs w:val="18"/>
              </w:rPr>
              <w:t>抑制比不小于20dB。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59"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13</w:t>
            </w:r>
          </w:p>
        </w:tc>
        <w:tc>
          <w:tcPr>
            <w:tcW w:w="1134"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sz w:val="18"/>
              </w:rPr>
              <w:t>走纸速度</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sz w:val="18"/>
              </w:rPr>
              <w:t>在</w:t>
            </w:r>
            <w:r>
              <w:rPr>
                <w:sz w:val="18"/>
              </w:rPr>
              <w:t>25mm/s</w:t>
            </w:r>
            <w:r>
              <w:rPr>
                <w:rFonts w:hint="eastAsia"/>
                <w:sz w:val="18"/>
              </w:rPr>
              <w:t>和</w:t>
            </w:r>
            <w:r>
              <w:rPr>
                <w:sz w:val="18"/>
              </w:rPr>
              <w:t>50mm/s</w:t>
            </w:r>
            <w:r>
              <w:rPr>
                <w:rFonts w:hint="eastAsia"/>
                <w:sz w:val="18"/>
              </w:rPr>
              <w:t>纸速时</w:t>
            </w:r>
            <w:r>
              <w:rPr>
                <w:sz w:val="18"/>
              </w:rPr>
              <w:t>,</w:t>
            </w:r>
            <w:r>
              <w:rPr>
                <w:rFonts w:hint="eastAsia"/>
                <w:sz w:val="18"/>
              </w:rPr>
              <w:t>误差不超过</w:t>
            </w:r>
            <w:r>
              <w:rPr>
                <w:sz w:val="18"/>
                <w:u w:val="single"/>
              </w:rPr>
              <w:t>+</w:t>
            </w:r>
            <w:r>
              <w:rPr>
                <w:sz w:val="18"/>
              </w:rPr>
              <w:t>5%</w:t>
            </w:r>
            <w:r>
              <w:rPr>
                <w:rFonts w:hint="eastAsia"/>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3"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14</w:t>
            </w:r>
          </w:p>
        </w:tc>
        <w:tc>
          <w:tcPr>
            <w:tcW w:w="1134" w:type="dxa"/>
            <w:tcBorders>
              <w:top w:val="single" w:color="808080" w:sz="4" w:space="0"/>
              <w:left w:val="single" w:color="808080" w:sz="4" w:space="0"/>
              <w:bottom w:val="single" w:color="808080" w:sz="4" w:space="0"/>
              <w:right w:val="single" w:color="808080" w:sz="4" w:space="0"/>
            </w:tcBorders>
            <w:noWrap w:val="0"/>
            <w:vAlign w:val="top"/>
          </w:tcPr>
          <w:p>
            <w:pPr>
              <w:rPr>
                <w:sz w:val="18"/>
              </w:rPr>
            </w:pPr>
            <w:r>
              <w:rPr>
                <w:sz w:val="18"/>
              </w:rPr>
              <w:t>ECG(</w:t>
            </w:r>
            <w:r>
              <w:rPr>
                <w:rFonts w:hint="eastAsia"/>
                <w:sz w:val="18"/>
              </w:rPr>
              <w:t>常规心电图</w:t>
            </w:r>
            <w:r>
              <w:rPr>
                <w:sz w:val="18"/>
              </w:rPr>
              <w:t>)</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rFonts w:hint="eastAsia"/>
                <w:sz w:val="18"/>
              </w:rPr>
              <w:t>同步采集存贮；屏幕显示、打印；心电波形自动测量、分析及数据打印。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17"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15</w:t>
            </w:r>
          </w:p>
        </w:tc>
        <w:tc>
          <w:tcPr>
            <w:tcW w:w="1134" w:type="dxa"/>
            <w:tcBorders>
              <w:top w:val="single" w:color="808080" w:sz="4" w:space="0"/>
              <w:left w:val="single" w:color="808080" w:sz="4" w:space="0"/>
              <w:bottom w:val="single" w:color="808080" w:sz="4" w:space="0"/>
              <w:right w:val="single" w:color="808080" w:sz="4" w:space="0"/>
            </w:tcBorders>
            <w:noWrap w:val="0"/>
            <w:vAlign w:val="top"/>
          </w:tcPr>
          <w:p>
            <w:pPr>
              <w:rPr>
                <w:sz w:val="18"/>
              </w:rPr>
            </w:pPr>
            <w:r>
              <w:rPr>
                <w:sz w:val="18"/>
              </w:rPr>
              <w:t>VCG</w:t>
            </w:r>
            <w:r>
              <w:rPr>
                <w:rFonts w:hint="eastAsia"/>
                <w:sz w:val="18"/>
              </w:rPr>
              <w:t>（空间向量心电图）和</w:t>
            </w:r>
            <w:r>
              <w:rPr>
                <w:sz w:val="18"/>
              </w:rPr>
              <w:t>TVCG</w:t>
            </w:r>
            <w:r>
              <w:rPr>
                <w:rFonts w:hint="eastAsia"/>
                <w:sz w:val="18"/>
              </w:rPr>
              <w:t>（时间心电向量图）</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rPr>
                <w:sz w:val="18"/>
              </w:rPr>
            </w:pPr>
            <w:r>
              <w:rPr>
                <w:rFonts w:hint="eastAsia"/>
                <w:sz w:val="18"/>
              </w:rPr>
              <w:t>采集并存贮</w:t>
            </w:r>
            <w:r>
              <w:rPr>
                <w:sz w:val="18"/>
              </w:rPr>
              <w:t>X</w:t>
            </w:r>
            <w:r>
              <w:rPr>
                <w:rFonts w:hint="eastAsia"/>
                <w:sz w:val="18"/>
              </w:rPr>
              <w:t>、</w:t>
            </w:r>
            <w:r>
              <w:rPr>
                <w:sz w:val="18"/>
              </w:rPr>
              <w:t>Y</w:t>
            </w:r>
            <w:r>
              <w:rPr>
                <w:rFonts w:hint="eastAsia"/>
                <w:sz w:val="18"/>
              </w:rPr>
              <w:t>、</w:t>
            </w:r>
            <w:r>
              <w:rPr>
                <w:sz w:val="18"/>
              </w:rPr>
              <w:t>Z</w:t>
            </w:r>
            <w:r>
              <w:rPr>
                <w:rFonts w:hint="eastAsia"/>
                <w:sz w:val="18"/>
              </w:rPr>
              <w:t>轴正交心电图及额面、横面、侧面心电向量图，自动分析各向量环的最大向量及心电轴等参数；显示和打印分析结果，含图形及数据。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40"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16</w:t>
            </w:r>
          </w:p>
        </w:tc>
        <w:tc>
          <w:tcPr>
            <w:tcW w:w="1134" w:type="dxa"/>
            <w:tcBorders>
              <w:top w:val="single" w:color="808080" w:sz="4" w:space="0"/>
              <w:left w:val="single" w:color="808080" w:sz="4" w:space="0"/>
              <w:bottom w:val="single" w:color="808080" w:sz="4" w:space="0"/>
              <w:right w:val="single" w:color="808080" w:sz="4" w:space="0"/>
            </w:tcBorders>
            <w:noWrap w:val="0"/>
            <w:vAlign w:val="top"/>
          </w:tcPr>
          <w:p>
            <w:pPr>
              <w:rPr>
                <w:sz w:val="18"/>
              </w:rPr>
            </w:pPr>
            <w:r>
              <w:rPr>
                <w:rFonts w:hint="eastAsia"/>
                <w:sz w:val="18"/>
              </w:rPr>
              <w:t>心室晚电位（</w:t>
            </w:r>
            <w:r>
              <w:rPr>
                <w:sz w:val="18"/>
              </w:rPr>
              <w:t>VLP</w:t>
            </w:r>
            <w:r>
              <w:rPr>
                <w:rFonts w:hint="eastAsia"/>
                <w:sz w:val="18"/>
              </w:rPr>
              <w:t>）</w:t>
            </w:r>
          </w:p>
          <w:p>
            <w:pPr>
              <w:ind w:firstLine="360" w:firstLineChars="200"/>
              <w:rPr>
                <w:sz w:val="18"/>
              </w:rPr>
            </w:pP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rPr>
                <w:sz w:val="18"/>
              </w:rPr>
            </w:pPr>
            <w:r>
              <w:rPr>
                <w:rFonts w:hint="eastAsia"/>
                <w:sz w:val="18"/>
              </w:rPr>
              <w:t>自动测量和分析晚电位波形、计算</w:t>
            </w:r>
            <w:r>
              <w:rPr>
                <w:sz w:val="18"/>
              </w:rPr>
              <w:t>QRS</w:t>
            </w:r>
            <w:r>
              <w:rPr>
                <w:rFonts w:hint="eastAsia"/>
                <w:sz w:val="18"/>
              </w:rPr>
              <w:t>波参数；心室晚电位时频和频域分析；显示和打印图像及数据。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3" w:hRule="atLeast"/>
          <w:jc w:val="center"/>
        </w:trPr>
        <w:tc>
          <w:tcPr>
            <w:tcW w:w="363" w:type="dxa"/>
            <w:tcBorders>
              <w:top w:val="single" w:color="808080" w:sz="4" w:space="0"/>
              <w:left w:val="single" w:color="808080" w:sz="4" w:space="0"/>
              <w:bottom w:val="single" w:color="808080" w:sz="4" w:space="0"/>
              <w:right w:val="single" w:color="808080" w:sz="4" w:space="0"/>
            </w:tcBorders>
            <w:noWrap w:val="0"/>
            <w:vAlign w:val="center"/>
          </w:tcPr>
          <w:p>
            <w:pPr>
              <w:ind w:left="-75" w:right="-716" w:rightChars="-341"/>
              <w:rPr>
                <w:rFonts w:ascii="宋体" w:hAnsi="宋体"/>
                <w:sz w:val="18"/>
                <w:szCs w:val="18"/>
              </w:rPr>
            </w:pPr>
            <w:r>
              <w:rPr>
                <w:rFonts w:hint="eastAsia" w:ascii="宋体" w:hAnsi="宋体"/>
                <w:sz w:val="18"/>
                <w:szCs w:val="18"/>
              </w:rPr>
              <w:t>17</w:t>
            </w:r>
          </w:p>
        </w:tc>
        <w:tc>
          <w:tcPr>
            <w:tcW w:w="1134" w:type="dxa"/>
            <w:tcBorders>
              <w:top w:val="single" w:color="808080" w:sz="4" w:space="0"/>
              <w:left w:val="single" w:color="808080" w:sz="4" w:space="0"/>
              <w:bottom w:val="single" w:color="808080" w:sz="4" w:space="0"/>
              <w:right w:val="single" w:color="808080" w:sz="4" w:space="0"/>
            </w:tcBorders>
            <w:noWrap w:val="0"/>
            <w:vAlign w:val="top"/>
          </w:tcPr>
          <w:p>
            <w:pPr>
              <w:rPr>
                <w:sz w:val="18"/>
              </w:rPr>
            </w:pPr>
            <w:r>
              <w:rPr>
                <w:rFonts w:hint="eastAsia"/>
                <w:sz w:val="18"/>
              </w:rPr>
              <w:t>心率变异</w:t>
            </w:r>
            <w:r>
              <w:rPr>
                <w:sz w:val="18"/>
              </w:rPr>
              <w:t>(HRV)</w:t>
            </w:r>
          </w:p>
        </w:tc>
        <w:tc>
          <w:tcPr>
            <w:tcW w:w="6683" w:type="dxa"/>
            <w:tcBorders>
              <w:top w:val="single" w:color="808080" w:sz="4" w:space="0"/>
              <w:left w:val="single" w:color="808080" w:sz="4" w:space="0"/>
              <w:bottom w:val="single" w:color="808080" w:sz="4" w:space="0"/>
              <w:right w:val="single" w:color="808080" w:sz="4" w:space="0"/>
            </w:tcBorders>
            <w:noWrap w:val="0"/>
            <w:vAlign w:val="center"/>
          </w:tcPr>
          <w:p>
            <w:pPr>
              <w:ind w:right="-716" w:rightChars="-341"/>
              <w:rPr>
                <w:rFonts w:ascii="宋体" w:hAnsi="宋体"/>
                <w:sz w:val="18"/>
                <w:szCs w:val="18"/>
              </w:rPr>
            </w:pPr>
            <w:r>
              <w:rPr>
                <w:sz w:val="18"/>
              </w:rPr>
              <w:t>R-R</w:t>
            </w:r>
            <w:r>
              <w:rPr>
                <w:rFonts w:hint="eastAsia"/>
                <w:sz w:val="18"/>
              </w:rPr>
              <w:t>间期统计分析</w:t>
            </w:r>
            <w:r>
              <w:rPr>
                <w:sz w:val="18"/>
              </w:rPr>
              <w:t>, HRV</w:t>
            </w:r>
            <w:r>
              <w:rPr>
                <w:rFonts w:hint="eastAsia"/>
                <w:sz w:val="18"/>
              </w:rPr>
              <w:t>信号时间域统计</w:t>
            </w:r>
            <w:r>
              <w:rPr>
                <w:sz w:val="18"/>
              </w:rPr>
              <w:t>, AR</w:t>
            </w:r>
            <w:r>
              <w:rPr>
                <w:rFonts w:hint="eastAsia"/>
                <w:sz w:val="18"/>
              </w:rPr>
              <w:t>功率谱分析</w:t>
            </w:r>
          </w:p>
        </w:tc>
      </w:tr>
    </w:tbl>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软件功能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▲设备软件需实现与当前心电网络系统无缝连接，从当前系统获取心电相关信息并将采集数据自动传输至当前数据库</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网络化特点鲜明，无论在医院临床科室、还是远程医疗点、外出检查，任何地点都可以获得高品质的心电图信号与诊断，支持WI-FI、3G、4G传输。</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采用平板设计，小巧方便，便于携带</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具有Worklist功能，支持HIS提取患者信息，不用人工录入</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具有导联接法示意图功能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具有成人、儿童等差异化分析算法</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▲支持多导联心电图采集，12导、15导、16导联、18导采集同步心电图采集技术（要求医疗器械注册证注册体现）</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支持多导心电图采集 + 心电向量 + 频谱心电图采集与分析。</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支持12导采集 + V7、V8、V9 + V3R、V4R、V5R二次采集合并同一份报告打印技术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支持150分钟连续监测、实时记录心电图数据</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支持心电图事件记录</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支持心电图危急值提醒，危重紧急患者报警</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测量参数&gt;20种，可以针对心电图数据进行检索统计，如P波宽度，QRS波宽度，T波宽度，PR间期，QT 间期，QTC间期，P波电轴，QRS波电轴，T波电轴，P波形态，P波幅度，T波形态，T波幅度，QRS波形态，QRS波幅度，R波幅度，S波幅度，ST段形态，ST段幅度，RV5，SV1等得出重要的参考数据</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具有导联纠错功能，如果心电图数据因为肢体导联接反或者胸导联接错位置而导致数据不对，无需重新采集病人数据，诊断医生可以直接软件纠正。</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患者多次心电图数据同屏幕比较，支持多幅图像对比，单个选中的QRS波群放大对比，12导叠加对比，提供专业的测量参数</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16、</w:t>
      </w:r>
      <w:r>
        <w:rPr>
          <w:rFonts w:hint="eastAsia" w:ascii="宋体" w:hAnsi="宋体" w:eastAsia="宋体" w:cs="宋体"/>
          <w:sz w:val="24"/>
          <w:szCs w:val="24"/>
        </w:rPr>
        <w:t>心电图支持20000份病例存储</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17、</w:t>
      </w:r>
      <w:r>
        <w:rPr>
          <w:rFonts w:hint="eastAsia" w:ascii="宋体" w:hAnsi="宋体" w:eastAsia="宋体" w:cs="宋体"/>
          <w:sz w:val="24"/>
          <w:szCs w:val="24"/>
        </w:rPr>
        <w:t>可以统计，支持病种、诊断、测量参数统计，支持检查医生、操作医生、申请医生等数据统计，支持Excel表格输出打印</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18、</w:t>
      </w:r>
      <w:r>
        <w:rPr>
          <w:rFonts w:hint="eastAsia" w:ascii="宋体" w:hAnsi="宋体" w:eastAsia="宋体" w:cs="宋体"/>
          <w:sz w:val="24"/>
          <w:szCs w:val="24"/>
        </w:rPr>
        <w:t>心电图机支持美国的FDA-XML、欧洲SCP-ECG等国际标准数据格式存储数据，支持的PDF图像输出</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支持远程获取诊断报告</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多种网络连接选择，包括标准以太网LAN、WiFi、蓝牙、3G等多种技术传输方式</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特殊性要求：考虑到系统的稳定性及维护管理的便利性，要求所投产品必须通过WIFI上传数据到医院现用的北京麦迪克斯科技有限公司心电电生理信息网络系统，能与本系统无缝对接。</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szCs w:val="21"/>
          <w:lang w:val="en-US" w:eastAsia="zh-CN"/>
        </w:rPr>
      </w:pPr>
      <w:r>
        <w:rPr>
          <w:rFonts w:hint="eastAsia" w:ascii="宋体" w:hAnsi="宋体" w:cs="宋体"/>
          <w:sz w:val="24"/>
          <w:szCs w:val="24"/>
          <w:lang w:val="en-US" w:eastAsia="zh-CN"/>
        </w:rPr>
        <w:t>22、</w:t>
      </w:r>
      <w:r>
        <w:rPr>
          <w:rFonts w:hint="eastAsia" w:ascii="宋体" w:hAnsi="宋体" w:eastAsia="宋体" w:cs="宋体"/>
          <w:sz w:val="24"/>
          <w:szCs w:val="24"/>
          <w:lang w:val="en-US" w:eastAsia="zh-CN"/>
        </w:rPr>
        <w:t>▲心电设备需兼容医院现有心电信息管理系统，承担技术接入支持和相关接口费用</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4"/>
          <w:szCs w:val="24"/>
          <w:lang w:val="en-US" w:eastAsia="zh-CN"/>
        </w:rPr>
      </w:pPr>
    </w:p>
    <w:p>
      <w:pPr>
        <w:jc w:val="center"/>
        <w:rPr>
          <w:rFonts w:hint="eastAsia"/>
          <w:lang w:val="en-US" w:eastAsia="zh-CN"/>
        </w:rPr>
      </w:pPr>
      <w:r>
        <w:rPr>
          <w:rFonts w:hint="eastAsia" w:ascii="宋体" w:hAnsi="宋体" w:cs="宋体"/>
          <w:b/>
          <w:bCs/>
          <w:i w:val="0"/>
          <w:iCs w:val="0"/>
          <w:color w:val="000000"/>
          <w:kern w:val="0"/>
          <w:sz w:val="32"/>
          <w:szCs w:val="32"/>
          <w:u w:val="none"/>
          <w:lang w:val="en-US" w:eastAsia="zh-CN" w:bidi="ar"/>
        </w:rPr>
        <w:t>五、</w:t>
      </w:r>
      <w:r>
        <w:rPr>
          <w:rFonts w:hint="eastAsia" w:ascii="宋体" w:hAnsi="宋体" w:eastAsia="宋体" w:cs="宋体"/>
          <w:b/>
          <w:bCs/>
          <w:i w:val="0"/>
          <w:iCs w:val="0"/>
          <w:color w:val="000000"/>
          <w:kern w:val="0"/>
          <w:sz w:val="32"/>
          <w:szCs w:val="32"/>
          <w:u w:val="none"/>
          <w:lang w:val="en-US" w:eastAsia="zh-CN" w:bidi="ar"/>
        </w:rPr>
        <w:t>除颤监护仪</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检测方式 ：光反射式，蓝色光波(450nm)、绿色光波(550nm)比较</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显示方法：LCD显示屏</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示值误差;00～15±1mg/dL、16～25±1.5mg/dL</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精密度:RSD＜2%</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光源:氙闪光灯</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电源:7号1.2V镍氢充电电池4节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测量次数:每充足一次电能检测约1000次</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重量:约157g（含电池组）</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尺寸(mm):175（长）×68（宽）×26（厚）</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校验盘:对白色屏显示00.0mg/dl或00.1mg/dl，对黄色屏显示20.0±0.5mg/dl</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配置清单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主机1台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充电器1个</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校验盘1个</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电池4节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说明书1份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合格证1份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保修卡1份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探头擦拭布1件</w:t>
      </w:r>
    </w:p>
    <w:p>
      <w:pPr>
        <w:jc w:val="center"/>
        <w:rPr>
          <w:rFonts w:hint="eastAsia" w:ascii="宋体" w:hAnsi="宋体" w:cs="宋体"/>
          <w:b/>
          <w:bCs/>
          <w:i w:val="0"/>
          <w:iCs w:val="0"/>
          <w:color w:val="000000"/>
          <w:kern w:val="0"/>
          <w:sz w:val="32"/>
          <w:szCs w:val="32"/>
          <w:u w:val="none"/>
          <w:lang w:val="en-US" w:eastAsia="zh-CN" w:bidi="ar"/>
        </w:rPr>
      </w:pPr>
    </w:p>
    <w:p>
      <w:pPr>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六、</w:t>
      </w:r>
      <w:r>
        <w:rPr>
          <w:rFonts w:hint="eastAsia" w:ascii="宋体" w:hAnsi="宋体" w:eastAsia="宋体" w:cs="宋体"/>
          <w:b/>
          <w:bCs/>
          <w:i w:val="0"/>
          <w:iCs w:val="0"/>
          <w:color w:val="000000"/>
          <w:kern w:val="0"/>
          <w:sz w:val="32"/>
          <w:szCs w:val="32"/>
          <w:u w:val="none"/>
          <w:lang w:val="en-US" w:eastAsia="zh-CN" w:bidi="ar"/>
        </w:rPr>
        <w:t>除颤监护仪</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1、★彩色TFT显示屏≥7英寸, 分辨率800×480像素，可显示≥3通道监护参数波形，有高对比度显示界面。</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2、支持中文操作界面。</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3、屏幕显示心电波形扫描时间≥16s。</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4、★具备手动除颤、心电监护、呼吸监护、自动体外除颤（AED）功能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5、除颤采用双相波技术，具备自动阻抗补偿功能。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6、手动除颤分为同步和非同步两种方式，能量分20档以上，可通过体外电极板进行能量选择，最大能量可达360J。</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7、可配置体内除颤手柄，体内手动除颤能力选择：1/2/3/4/5/6/7/8/9/10/15/20/30/50 J</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8、体外除颤电极板同时支持成人和小儿，一体化设计，支持快速切换。</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9、电极板支持能量选择，充电和放电三步操作，满足单人除颤操作。</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10、AED除颤功能提供中文语音和中文提醒功能，对于抢救过程支持自动录音功能，记录时长≥60min。</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11、开机时间≤2s，符合临床使用。</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12、除颤充电迅速，充电至200J≤4s。</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13、支持配置体外起搏功能，起搏分为固定和按需两种模式。具备降速起搏功能。</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14、支持配置CPR辅助功能，CPR传感器设计符合2015 AHA/ERC指南，提供即时的按压反馈，设备界面提供按压深度和按压频率实时参数显示。</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15、心电波形速度支持50 mm/s、25 mm/s、12.5 mm/s、6.25 mm/s。</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16、通过心电电极片可监测的心律失常分析种类≥24种。</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17、可选配监护功能：血氧饱和度、无创血压、呼吸末二氧化碳。</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18、★提供的监护参数适用于成人，小儿和新生儿</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19、无创血压收缩压测量范围：25-290mmHg（成人）、25-240mmHg（小儿）、25-140mmHg（新生儿），舒张压测量范围：10-250mmHg（成人）、10-200mmHg（小儿），10-115mmHg（新生儿）。</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20、支持连接中央站，与科室床旁监护仪共用监护网络。</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21、支持提供IHE HL7协议，满足院前院内急救系统的联网通信。</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22、标配1块外置智能锂电池，可支持200J除颤≥300次。</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23、具备生理报警和技术报警功能，通过声音、文字和灯光3种方式进行报警。</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24、配置50mm记录纸记录仪，自动打印除颤记录，单次波形记录时间最大不小于30s；支持连续波形记录。</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25、可存储24小时连续ECG波形，数据可导出至电脑查看。</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26、关机状态下设备支持每天定时自动运行自检，支持定期自动大能量自检。</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27、设备自检后支持对于自检报告进行自动打印或按需打印。</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28、具备良好的防尘防水性能，防尘防水级别IP44。</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29、具备优异的抗跌落性能，满足救护车标准EN1789 中6.3.4.3 关于跌落试验的要求，裸机可承受6面0.75m跌落冲击。</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Times New Roman"/>
          <w:szCs w:val="21"/>
          <w:lang w:val="en-US" w:eastAsia="zh-CN"/>
        </w:rPr>
      </w:pPr>
      <w:r>
        <w:rPr>
          <w:rFonts w:hint="eastAsia" w:ascii="宋体" w:hAnsi="宋体" w:cs="宋体"/>
          <w:sz w:val="24"/>
          <w:szCs w:val="24"/>
          <w:lang w:val="en-US" w:eastAsia="zh-CN"/>
        </w:rPr>
        <w:t>30工作环境，温度范围：0°C-45°C，湿度范围：15%-95%，大气压范围：57.0 kPa ～ 106.2 kPa。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B9F47"/>
    <w:multiLevelType w:val="singleLevel"/>
    <w:tmpl w:val="7A1B9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2U1M2VjMWQ0MzNmNTRjNDU0OGU4MTg2N2Q2ZjMifQ=="/>
  </w:docVars>
  <w:rsids>
    <w:rsidRoot w:val="1ACA360D"/>
    <w:rsid w:val="01431A4A"/>
    <w:rsid w:val="02C92423"/>
    <w:rsid w:val="03265180"/>
    <w:rsid w:val="036D7252"/>
    <w:rsid w:val="03742054"/>
    <w:rsid w:val="04583A5F"/>
    <w:rsid w:val="0494259D"/>
    <w:rsid w:val="04BD7D66"/>
    <w:rsid w:val="05340028"/>
    <w:rsid w:val="053E0EA6"/>
    <w:rsid w:val="05AF01F7"/>
    <w:rsid w:val="05BA6F95"/>
    <w:rsid w:val="05C23886"/>
    <w:rsid w:val="061E5687"/>
    <w:rsid w:val="08055CAB"/>
    <w:rsid w:val="08EE111E"/>
    <w:rsid w:val="091D2944"/>
    <w:rsid w:val="094B74DC"/>
    <w:rsid w:val="0AF81AF7"/>
    <w:rsid w:val="0BC53CE2"/>
    <w:rsid w:val="0D166265"/>
    <w:rsid w:val="0D3C0F87"/>
    <w:rsid w:val="0D5D3E94"/>
    <w:rsid w:val="0DA77DBF"/>
    <w:rsid w:val="0E0013EF"/>
    <w:rsid w:val="0E6A4ABA"/>
    <w:rsid w:val="0EE54565"/>
    <w:rsid w:val="0F7756E1"/>
    <w:rsid w:val="0FED14FF"/>
    <w:rsid w:val="103E61FE"/>
    <w:rsid w:val="126F08F1"/>
    <w:rsid w:val="13315BA7"/>
    <w:rsid w:val="13685340"/>
    <w:rsid w:val="139B5716"/>
    <w:rsid w:val="152754B3"/>
    <w:rsid w:val="161F43DC"/>
    <w:rsid w:val="164F4B0E"/>
    <w:rsid w:val="17CC7129"/>
    <w:rsid w:val="180A4C18"/>
    <w:rsid w:val="18C33745"/>
    <w:rsid w:val="19120228"/>
    <w:rsid w:val="1A7D3DC7"/>
    <w:rsid w:val="1ACA360D"/>
    <w:rsid w:val="1ADC0AEE"/>
    <w:rsid w:val="1B1A7868"/>
    <w:rsid w:val="1BD96714"/>
    <w:rsid w:val="1C7C42DE"/>
    <w:rsid w:val="1C890801"/>
    <w:rsid w:val="1CF77E61"/>
    <w:rsid w:val="1D2624F4"/>
    <w:rsid w:val="1F004D2E"/>
    <w:rsid w:val="1F86727A"/>
    <w:rsid w:val="207E61A3"/>
    <w:rsid w:val="22291E9C"/>
    <w:rsid w:val="22910410"/>
    <w:rsid w:val="22B20386"/>
    <w:rsid w:val="22C5630B"/>
    <w:rsid w:val="23AB5501"/>
    <w:rsid w:val="244B45EE"/>
    <w:rsid w:val="24C50845"/>
    <w:rsid w:val="24C525F3"/>
    <w:rsid w:val="251946ED"/>
    <w:rsid w:val="253F4091"/>
    <w:rsid w:val="25BA5ED0"/>
    <w:rsid w:val="270A4D3B"/>
    <w:rsid w:val="275B0A3D"/>
    <w:rsid w:val="27D25752"/>
    <w:rsid w:val="28BA1D43"/>
    <w:rsid w:val="29244625"/>
    <w:rsid w:val="2B1C6CE5"/>
    <w:rsid w:val="2BDF043E"/>
    <w:rsid w:val="2ED50E10"/>
    <w:rsid w:val="2F3D5312"/>
    <w:rsid w:val="2F683E67"/>
    <w:rsid w:val="31CF5C1D"/>
    <w:rsid w:val="31E4154A"/>
    <w:rsid w:val="31F041C4"/>
    <w:rsid w:val="32543208"/>
    <w:rsid w:val="332E1CAB"/>
    <w:rsid w:val="33F22CD8"/>
    <w:rsid w:val="34A749EE"/>
    <w:rsid w:val="370D205E"/>
    <w:rsid w:val="383E473E"/>
    <w:rsid w:val="39405911"/>
    <w:rsid w:val="397D1296"/>
    <w:rsid w:val="39D52E80"/>
    <w:rsid w:val="3A856654"/>
    <w:rsid w:val="3B5D4EDB"/>
    <w:rsid w:val="3B702E61"/>
    <w:rsid w:val="3B914B85"/>
    <w:rsid w:val="3BE86E9B"/>
    <w:rsid w:val="3CCD6091"/>
    <w:rsid w:val="3D0D2931"/>
    <w:rsid w:val="3DF56C47"/>
    <w:rsid w:val="3E104487"/>
    <w:rsid w:val="3EA64DEB"/>
    <w:rsid w:val="3EE85404"/>
    <w:rsid w:val="3EF1250A"/>
    <w:rsid w:val="3F566811"/>
    <w:rsid w:val="3F8213B4"/>
    <w:rsid w:val="40552625"/>
    <w:rsid w:val="405D597D"/>
    <w:rsid w:val="4246496D"/>
    <w:rsid w:val="42576B28"/>
    <w:rsid w:val="42902152"/>
    <w:rsid w:val="43413334"/>
    <w:rsid w:val="44A1408B"/>
    <w:rsid w:val="44DF49AB"/>
    <w:rsid w:val="452B604A"/>
    <w:rsid w:val="457B1241"/>
    <w:rsid w:val="461070BE"/>
    <w:rsid w:val="474D04FA"/>
    <w:rsid w:val="47B02837"/>
    <w:rsid w:val="48CB5B7A"/>
    <w:rsid w:val="497418F4"/>
    <w:rsid w:val="49865F45"/>
    <w:rsid w:val="49A62143"/>
    <w:rsid w:val="4A203CA4"/>
    <w:rsid w:val="4ABA5EA6"/>
    <w:rsid w:val="4B9B38DE"/>
    <w:rsid w:val="4CF11927"/>
    <w:rsid w:val="4DCD4142"/>
    <w:rsid w:val="4E712D20"/>
    <w:rsid w:val="4EC02290"/>
    <w:rsid w:val="4FCB5FB2"/>
    <w:rsid w:val="500B0F52"/>
    <w:rsid w:val="50C03AEB"/>
    <w:rsid w:val="516E1798"/>
    <w:rsid w:val="51A67184"/>
    <w:rsid w:val="522D51B0"/>
    <w:rsid w:val="528F202D"/>
    <w:rsid w:val="52A25112"/>
    <w:rsid w:val="536F7A4A"/>
    <w:rsid w:val="53D004E8"/>
    <w:rsid w:val="55945546"/>
    <w:rsid w:val="55A75252"/>
    <w:rsid w:val="568F16B6"/>
    <w:rsid w:val="56B91708"/>
    <w:rsid w:val="56C8194B"/>
    <w:rsid w:val="57911D3D"/>
    <w:rsid w:val="57FB18AC"/>
    <w:rsid w:val="5A4B6B1B"/>
    <w:rsid w:val="5B242EC8"/>
    <w:rsid w:val="5CF54B1C"/>
    <w:rsid w:val="5D3F223B"/>
    <w:rsid w:val="5D4E06D0"/>
    <w:rsid w:val="5DF474C9"/>
    <w:rsid w:val="5E781EA8"/>
    <w:rsid w:val="5F155949"/>
    <w:rsid w:val="5FF4555F"/>
    <w:rsid w:val="5FFB4B3F"/>
    <w:rsid w:val="60B60A66"/>
    <w:rsid w:val="61ED04B8"/>
    <w:rsid w:val="626764BC"/>
    <w:rsid w:val="630A2F55"/>
    <w:rsid w:val="64D67BCE"/>
    <w:rsid w:val="64F8164D"/>
    <w:rsid w:val="65551782"/>
    <w:rsid w:val="658729D1"/>
    <w:rsid w:val="66466D22"/>
    <w:rsid w:val="67044388"/>
    <w:rsid w:val="675E0EE9"/>
    <w:rsid w:val="692D1AE1"/>
    <w:rsid w:val="69A26810"/>
    <w:rsid w:val="6AE54422"/>
    <w:rsid w:val="6B5C220A"/>
    <w:rsid w:val="6BB65DBE"/>
    <w:rsid w:val="6C0B435C"/>
    <w:rsid w:val="6C692E30"/>
    <w:rsid w:val="6E466EDB"/>
    <w:rsid w:val="6EB32A89"/>
    <w:rsid w:val="6EC627BC"/>
    <w:rsid w:val="6EC66318"/>
    <w:rsid w:val="6FEA24DA"/>
    <w:rsid w:val="71E33685"/>
    <w:rsid w:val="738844E4"/>
    <w:rsid w:val="73A3131E"/>
    <w:rsid w:val="73FC458A"/>
    <w:rsid w:val="740C62FA"/>
    <w:rsid w:val="74566390"/>
    <w:rsid w:val="74D5034D"/>
    <w:rsid w:val="75E1612D"/>
    <w:rsid w:val="7AD1051F"/>
    <w:rsid w:val="7BAC2D3A"/>
    <w:rsid w:val="7C5238E1"/>
    <w:rsid w:val="7D6C09D3"/>
    <w:rsid w:val="7DA261A2"/>
    <w:rsid w:val="7E09286B"/>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Body Text"/>
    <w:basedOn w:val="1"/>
    <w:next w:val="6"/>
    <w:qFormat/>
    <w:uiPriority w:val="0"/>
    <w:pPr>
      <w:widowControl/>
      <w:jc w:val="left"/>
    </w:pPr>
    <w:rPr>
      <w:rFonts w:ascii="Times New Roman" w:hAnsi="Times New Roman" w:eastAsia="宋体" w:cs="Times New Roman"/>
      <w:kern w:val="0"/>
    </w:rPr>
  </w:style>
  <w:style w:type="paragraph" w:styleId="6">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default" w:ascii="Times New Roman" w:hAnsi="Times New Roman" w:cs="Times New Roman"/>
      <w:color w:val="000000"/>
      <w:sz w:val="20"/>
      <w:szCs w:val="20"/>
      <w:u w:val="none"/>
    </w:rPr>
  </w:style>
  <w:style w:type="paragraph" w:customStyle="1" w:styleId="11">
    <w:name w:val="p0"/>
    <w:basedOn w:val="1"/>
    <w:qFormat/>
    <w:uiPriority w:val="0"/>
    <w:rPr>
      <w:rFonts w:ascii="Times New Roman" w:hAnsi="Times New Roman" w:eastAsia="宋体" w:cs="Times New Roman"/>
      <w:szCs w:val="21"/>
    </w:rPr>
  </w:style>
  <w:style w:type="paragraph" w:customStyle="1" w:styleId="12">
    <w:name w:val="p16"/>
    <w:basedOn w:val="1"/>
    <w:qFormat/>
    <w:uiPriority w:val="0"/>
    <w:rPr>
      <w:rFonts w:ascii="Times New Roman" w:hAnsi="Times New Roman" w:eastAsia="宋体" w:cs="Times New Roman"/>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paragraph" w:customStyle="1" w:styleId="14">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5">
    <w:name w:val="Table Normal"/>
    <w:semiHidden/>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6">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61"/>
    <w:basedOn w:val="9"/>
    <w:qFormat/>
    <w:uiPriority w:val="0"/>
    <w:rPr>
      <w:rFonts w:hint="eastAsia" w:ascii="宋体" w:hAnsi="宋体" w:eastAsia="宋体" w:cs="宋体"/>
      <w:color w:val="000000"/>
      <w:sz w:val="20"/>
      <w:szCs w:val="20"/>
      <w:u w:val="none"/>
    </w:rPr>
  </w:style>
  <w:style w:type="paragraph" w:customStyle="1" w:styleId="19">
    <w:name w:val="列表段落1"/>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4844</Words>
  <Characters>5870</Characters>
  <Lines>0</Lines>
  <Paragraphs>0</Paragraphs>
  <TotalTime>38</TotalTime>
  <ScaleCrop>false</ScaleCrop>
  <LinksUpToDate>false</LinksUpToDate>
  <CharactersWithSpaces>5984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Lenovo</cp:lastModifiedBy>
  <dcterms:modified xsi:type="dcterms:W3CDTF">2022-11-10T03:14:48Z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F494A0F38D754290A7272E289738372E</vt:lpwstr>
  </property>
</Properties>
</file>